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1E0"/>
      </w:tblPr>
      <w:tblGrid>
        <w:gridCol w:w="3511"/>
        <w:gridCol w:w="5777"/>
      </w:tblGrid>
      <w:tr w:rsidR="004221CA" w:rsidTr="00FB47CE">
        <w:tc>
          <w:tcPr>
            <w:tcW w:w="1890" w:type="pct"/>
            <w:shd w:val="clear" w:color="auto" w:fill="auto"/>
          </w:tcPr>
          <w:p w:rsidR="004221CA" w:rsidRPr="008431D4" w:rsidRDefault="00412773" w:rsidP="00240B8C">
            <w:pPr>
              <w:spacing w:before="120"/>
              <w:jc w:val="center"/>
              <w:rPr>
                <w:rFonts w:ascii="Times New Roman" w:hAnsi="Times New Roman" w:cs="Times New Roman"/>
                <w:b/>
              </w:rPr>
            </w:pPr>
            <w:r>
              <w:rPr>
                <w:rFonts w:ascii="Times New Roman" w:hAnsi="Times New Roman" w:cs="Times New Roman"/>
                <w:b/>
                <w:noProof/>
                <w:lang w:val="en-US" w:eastAsia="en-US"/>
              </w:rPr>
              <w:pict>
                <v:shapetype id="_x0000_t202" coordsize="21600,21600" o:spt="202" path="m,l,21600r21600,l21600,xe">
                  <v:stroke joinstyle="miter"/>
                  <v:path gradientshapeok="t" o:connecttype="rect"/>
                </v:shapetype>
                <v:shape id="_x0000_s1028" type="#_x0000_t202" style="position:absolute;left:0;text-align:left;margin-left:-42.3pt;margin-top:49.8pt;width:95.25pt;height:27.75pt;z-index:251660288">
                  <v:textbox>
                    <w:txbxContent>
                      <w:p w:rsidR="00F01375" w:rsidRPr="00F01375" w:rsidRDefault="00F01375" w:rsidP="00F01375">
                        <w:pPr>
                          <w:spacing w:before="60"/>
                          <w:jc w:val="center"/>
                          <w:rPr>
                            <w:rFonts w:ascii="Times New Roman" w:hAnsi="Times New Roman" w:cs="Times New Roman"/>
                            <w:b/>
                            <w:sz w:val="28"/>
                            <w:szCs w:val="28"/>
                            <w:lang w:val="en-US"/>
                          </w:rPr>
                        </w:pPr>
                        <w:r w:rsidRPr="00F01375">
                          <w:rPr>
                            <w:rFonts w:ascii="Times New Roman" w:hAnsi="Times New Roman" w:cs="Times New Roman"/>
                            <w:b/>
                            <w:sz w:val="28"/>
                            <w:szCs w:val="28"/>
                            <w:lang w:val="en-US"/>
                          </w:rPr>
                          <w:t>DỰ THẢO</w:t>
                        </w:r>
                      </w:p>
                    </w:txbxContent>
                  </v:textbox>
                </v:shape>
              </w:pict>
            </w:r>
            <w:r>
              <w:rPr>
                <w:rFonts w:ascii="Times New Roman" w:hAnsi="Times New Roman" w:cs="Times New Roman"/>
                <w:b/>
                <w:noProof/>
                <w:lang w:val="en-US" w:eastAsia="en-US"/>
              </w:rPr>
              <w:pict>
                <v:shapetype id="_x0000_t32" coordsize="21600,21600" o:spt="32" o:oned="t" path="m,l21600,21600e" filled="f">
                  <v:path arrowok="t" fillok="f" o:connecttype="none"/>
                  <o:lock v:ext="edit" shapetype="t"/>
                </v:shapetype>
                <v:shape id="_x0000_s1026" type="#_x0000_t32" style="position:absolute;left:0;text-align:left;margin-left:58.95pt;margin-top:22.8pt;width:43.5pt;height:0;z-index:251658240" o:connectortype="straight"/>
              </w:pict>
            </w:r>
            <w:r w:rsidR="000153F4" w:rsidRPr="008431D4">
              <w:rPr>
                <w:rFonts w:ascii="Times New Roman" w:hAnsi="Times New Roman" w:cs="Times New Roman"/>
                <w:b/>
                <w:lang w:val="en-US"/>
              </w:rPr>
              <w:t>SỞ TÀI CHÍNH</w:t>
            </w:r>
            <w:r w:rsidR="004221CA" w:rsidRPr="008431D4">
              <w:rPr>
                <w:rFonts w:ascii="Times New Roman" w:hAnsi="Times New Roman" w:cs="Times New Roman"/>
                <w:b/>
              </w:rPr>
              <w:br/>
            </w:r>
          </w:p>
        </w:tc>
        <w:tc>
          <w:tcPr>
            <w:tcW w:w="3110" w:type="pct"/>
            <w:shd w:val="clear" w:color="auto" w:fill="auto"/>
          </w:tcPr>
          <w:p w:rsidR="004221CA" w:rsidRPr="008431D4" w:rsidRDefault="00412773" w:rsidP="00240B8C">
            <w:pPr>
              <w:spacing w:before="120"/>
              <w:jc w:val="center"/>
              <w:rPr>
                <w:rFonts w:ascii="Times New Roman" w:hAnsi="Times New Roman" w:cs="Times New Roman"/>
                <w:b/>
              </w:rPr>
            </w:pPr>
            <w:r w:rsidRPr="00412773">
              <w:rPr>
                <w:rFonts w:ascii="Times New Roman" w:hAnsi="Times New Roman" w:cs="Times New Roman"/>
                <w:b/>
                <w:noProof/>
                <w:sz w:val="26"/>
                <w:szCs w:val="26"/>
                <w:lang w:val="en-US" w:eastAsia="en-US"/>
              </w:rPr>
              <w:pict>
                <v:shape id="_x0000_s1027" type="#_x0000_t32" style="position:absolute;left:0;text-align:left;margin-left:52.9pt;margin-top:38.55pt;width:173.25pt;height:0;z-index:251659264;mso-position-horizontal-relative:text;mso-position-vertical-relative:text" o:connectortype="straight"/>
              </w:pict>
            </w:r>
            <w:r w:rsidR="004221CA" w:rsidRPr="00240B8C">
              <w:rPr>
                <w:rFonts w:ascii="Times New Roman" w:hAnsi="Times New Roman" w:cs="Times New Roman"/>
                <w:b/>
                <w:sz w:val="26"/>
                <w:szCs w:val="26"/>
              </w:rPr>
              <w:t>CỘNG HÒA XÃ HỘI CHỦ NGHĨA VIỆT NAM</w:t>
            </w:r>
            <w:r w:rsidR="004221CA" w:rsidRPr="008431D4">
              <w:rPr>
                <w:rFonts w:ascii="Times New Roman" w:hAnsi="Times New Roman" w:cs="Times New Roman"/>
                <w:b/>
              </w:rPr>
              <w:br/>
            </w:r>
            <w:r w:rsidR="004221CA" w:rsidRPr="00240B8C">
              <w:rPr>
                <w:rFonts w:ascii="Times New Roman" w:hAnsi="Times New Roman" w:cs="Times New Roman"/>
                <w:b/>
                <w:sz w:val="28"/>
                <w:szCs w:val="28"/>
              </w:rPr>
              <w:t>Độc lập - Tự do - Hạnh phúc</w:t>
            </w:r>
            <w:r w:rsidR="004221CA" w:rsidRPr="008431D4">
              <w:rPr>
                <w:rFonts w:ascii="Times New Roman" w:hAnsi="Times New Roman" w:cs="Times New Roman"/>
                <w:b/>
              </w:rPr>
              <w:t xml:space="preserve"> </w:t>
            </w:r>
            <w:r w:rsidR="004221CA" w:rsidRPr="008431D4">
              <w:rPr>
                <w:rFonts w:ascii="Times New Roman" w:hAnsi="Times New Roman" w:cs="Times New Roman"/>
                <w:b/>
              </w:rPr>
              <w:br/>
            </w:r>
          </w:p>
        </w:tc>
      </w:tr>
      <w:tr w:rsidR="004221CA" w:rsidRPr="000153F4" w:rsidTr="00FB47CE">
        <w:tc>
          <w:tcPr>
            <w:tcW w:w="1890" w:type="pct"/>
            <w:shd w:val="clear" w:color="auto" w:fill="auto"/>
          </w:tcPr>
          <w:p w:rsidR="004221CA" w:rsidRDefault="004221CA" w:rsidP="00293C11">
            <w:pPr>
              <w:spacing w:before="120"/>
              <w:jc w:val="center"/>
              <w:rPr>
                <w:rFonts w:ascii="Arial" w:hAnsi="Arial" w:cs="Arial"/>
                <w:sz w:val="20"/>
              </w:rPr>
            </w:pPr>
          </w:p>
        </w:tc>
        <w:tc>
          <w:tcPr>
            <w:tcW w:w="3110" w:type="pct"/>
            <w:shd w:val="clear" w:color="auto" w:fill="auto"/>
          </w:tcPr>
          <w:p w:rsidR="004221CA" w:rsidRPr="008431D4" w:rsidRDefault="000153F4" w:rsidP="008A1C09">
            <w:pPr>
              <w:spacing w:before="120"/>
              <w:jc w:val="right"/>
              <w:rPr>
                <w:rFonts w:ascii="Times New Roman" w:hAnsi="Times New Roman" w:cs="Times New Roman"/>
                <w:i/>
                <w:sz w:val="26"/>
                <w:szCs w:val="26"/>
              </w:rPr>
            </w:pPr>
            <w:r w:rsidRPr="008431D4">
              <w:rPr>
                <w:rFonts w:ascii="Times New Roman" w:hAnsi="Times New Roman" w:cs="Times New Roman"/>
                <w:i/>
                <w:sz w:val="26"/>
                <w:szCs w:val="26"/>
                <w:lang w:val="es-CO"/>
              </w:rPr>
              <w:t xml:space="preserve">Sơn La, ngày      tháng  </w:t>
            </w:r>
            <w:r w:rsidR="008A1C09">
              <w:rPr>
                <w:rFonts w:ascii="Times New Roman" w:hAnsi="Times New Roman" w:cs="Times New Roman"/>
                <w:i/>
                <w:sz w:val="26"/>
                <w:szCs w:val="26"/>
                <w:lang w:val="es-CO"/>
              </w:rPr>
              <w:t>8</w:t>
            </w:r>
            <w:r w:rsidR="007C7595">
              <w:rPr>
                <w:rFonts w:ascii="Times New Roman" w:hAnsi="Times New Roman" w:cs="Times New Roman"/>
                <w:i/>
                <w:sz w:val="26"/>
                <w:szCs w:val="26"/>
                <w:lang w:val="es-CO"/>
              </w:rPr>
              <w:t xml:space="preserve"> </w:t>
            </w:r>
            <w:r w:rsidRPr="008431D4">
              <w:rPr>
                <w:rFonts w:ascii="Times New Roman" w:hAnsi="Times New Roman" w:cs="Times New Roman"/>
                <w:i/>
                <w:sz w:val="26"/>
                <w:szCs w:val="26"/>
                <w:lang w:val="es-CO"/>
              </w:rPr>
              <w:t>năm 2025</w:t>
            </w:r>
          </w:p>
        </w:tc>
      </w:tr>
    </w:tbl>
    <w:p w:rsidR="004221CA" w:rsidRDefault="004221CA" w:rsidP="004221CA">
      <w:pPr>
        <w:spacing w:before="120"/>
        <w:rPr>
          <w:rFonts w:ascii="Arial" w:hAnsi="Arial" w:cs="Arial"/>
          <w:sz w:val="20"/>
          <w:szCs w:val="20"/>
          <w:vertAlign w:val="superscript"/>
          <w:lang w:val="en-US"/>
        </w:rPr>
      </w:pPr>
    </w:p>
    <w:p w:rsidR="008A1C09" w:rsidRPr="008A1C09" w:rsidRDefault="004221CA" w:rsidP="008A1C09">
      <w:pPr>
        <w:spacing w:line="340" w:lineRule="exact"/>
        <w:jc w:val="center"/>
        <w:rPr>
          <w:rFonts w:ascii="Times New Roman" w:hAnsi="Times New Roman" w:cs="Times New Roman"/>
          <w:b/>
          <w:color w:val="auto"/>
          <w:spacing w:val="-4"/>
          <w:sz w:val="26"/>
          <w:szCs w:val="26"/>
          <w:lang w:val="en-US" w:eastAsia="en-US"/>
        </w:rPr>
      </w:pPr>
      <w:bookmarkStart w:id="0" w:name="_Hlk199316091"/>
      <w:r w:rsidRPr="00F01375">
        <w:rPr>
          <w:rFonts w:ascii="Times New Roman" w:hAnsi="Times New Roman" w:cs="Times New Roman"/>
          <w:b/>
          <w:bCs/>
          <w:sz w:val="26"/>
          <w:szCs w:val="26"/>
        </w:rPr>
        <w:t xml:space="preserve">BẢN </w:t>
      </w:r>
      <w:r w:rsidRPr="008A1C09">
        <w:rPr>
          <w:rFonts w:ascii="Times New Roman" w:hAnsi="Times New Roman" w:cs="Times New Roman"/>
          <w:b/>
          <w:bCs/>
          <w:sz w:val="26"/>
          <w:szCs w:val="26"/>
        </w:rPr>
        <w:t xml:space="preserve">ĐÁNH GIÁ VIỆC </w:t>
      </w:r>
      <w:bookmarkEnd w:id="0"/>
      <w:r w:rsidR="008A1C09" w:rsidRPr="008A1C09">
        <w:rPr>
          <w:rFonts w:ascii="Times New Roman" w:hAnsi="Times New Roman" w:cs="Times New Roman"/>
          <w:b/>
          <w:color w:val="auto"/>
          <w:spacing w:val="-4"/>
          <w:sz w:val="26"/>
          <w:szCs w:val="26"/>
          <w:lang w:val="en-US" w:eastAsia="en-US"/>
        </w:rPr>
        <w:t xml:space="preserve">PHÂN CẤP </w:t>
      </w:r>
      <w:r w:rsidR="008A1C09" w:rsidRPr="008A1C09">
        <w:rPr>
          <w:rFonts w:ascii="Times New Roman" w:hAnsi="Times New Roman" w:cs="Times New Roman"/>
          <w:b/>
          <w:color w:val="auto"/>
          <w:sz w:val="26"/>
          <w:szCs w:val="26"/>
          <w:lang w:val="en-US" w:eastAsia="en-US"/>
        </w:rPr>
        <w:t>QUYẾT ĐỊNH TIÊU CHUẨN, ĐỊNH MỨC DIỆN TÍCH CHUYÊN DÙNG CỦA CÁC CƠ QUAN, TỔ CHỨC, ĐƠN VỊ THUỘC PHẠM VI QUẢN LÝ CỦA UBND TỈNH SƠN LA</w:t>
      </w:r>
    </w:p>
    <w:p w:rsidR="004221CA" w:rsidRPr="00B92E6D" w:rsidRDefault="00412773" w:rsidP="00447C89">
      <w:pPr>
        <w:spacing w:before="120"/>
        <w:jc w:val="center"/>
        <w:rPr>
          <w:rFonts w:ascii="Times New Roman" w:hAnsi="Times New Roman" w:cs="Times New Roman"/>
          <w:b/>
          <w:bCs/>
          <w:sz w:val="28"/>
          <w:szCs w:val="28"/>
          <w:lang w:val="en-US"/>
        </w:rPr>
      </w:pPr>
      <w:r>
        <w:rPr>
          <w:rFonts w:ascii="Times New Roman" w:hAnsi="Times New Roman" w:cs="Times New Roman"/>
          <w:b/>
          <w:bCs/>
          <w:noProof/>
          <w:sz w:val="28"/>
          <w:szCs w:val="28"/>
          <w:lang w:val="en-US" w:eastAsia="en-US"/>
        </w:rPr>
        <w:pict>
          <v:shape id="_x0000_s1029" type="#_x0000_t32" style="position:absolute;left:0;text-align:left;margin-left:142.95pt;margin-top:6.75pt;width:169.5pt;height:0;z-index:251661312" o:connectortype="straight"/>
        </w:pict>
      </w:r>
    </w:p>
    <w:p w:rsidR="006D6AEE" w:rsidRPr="00447C89" w:rsidRDefault="006D6AEE" w:rsidP="009726F7">
      <w:pPr>
        <w:spacing w:before="120"/>
        <w:ind w:firstLine="720"/>
        <w:jc w:val="both"/>
        <w:rPr>
          <w:rFonts w:ascii="Times New Roman" w:hAnsi="Times New Roman" w:cs="Times New Roman"/>
          <w:b/>
          <w:bCs/>
          <w:sz w:val="28"/>
          <w:szCs w:val="28"/>
          <w:lang w:val="en-US"/>
        </w:rPr>
      </w:pPr>
    </w:p>
    <w:p w:rsidR="004221CA" w:rsidRPr="00135BDB" w:rsidRDefault="004221CA" w:rsidP="00985C87">
      <w:pPr>
        <w:spacing w:before="120" w:line="340" w:lineRule="exact"/>
        <w:ind w:firstLine="720"/>
        <w:jc w:val="both"/>
        <w:rPr>
          <w:rFonts w:ascii="Times New Roman" w:hAnsi="Times New Roman" w:cs="Times New Roman"/>
          <w:color w:val="auto"/>
          <w:sz w:val="28"/>
          <w:szCs w:val="28"/>
        </w:rPr>
      </w:pPr>
      <w:r w:rsidRPr="009726F7">
        <w:rPr>
          <w:rFonts w:ascii="Times New Roman" w:hAnsi="Times New Roman" w:cs="Times New Roman"/>
          <w:sz w:val="28"/>
          <w:szCs w:val="28"/>
        </w:rPr>
        <w:t>Thực hiện quy định của Luật Ban hành văn bản quy phạm pháp luật</w:t>
      </w:r>
      <w:r w:rsidR="00B92E6D" w:rsidRPr="009726F7">
        <w:rPr>
          <w:rFonts w:ascii="Times New Roman" w:hAnsi="Times New Roman" w:cs="Times New Roman"/>
          <w:sz w:val="28"/>
          <w:szCs w:val="28"/>
          <w:lang w:val="en-US"/>
        </w:rPr>
        <w:t xml:space="preserve">, Sở Tài chính </w:t>
      </w:r>
      <w:r w:rsidRPr="009726F7">
        <w:rPr>
          <w:rFonts w:ascii="Times New Roman" w:hAnsi="Times New Roman" w:cs="Times New Roman"/>
          <w:sz w:val="28"/>
          <w:szCs w:val="28"/>
        </w:rPr>
        <w:t>đã tiến hành đánh giá thủ tục hành chính, việc phân cấp trong dự</w:t>
      </w:r>
      <w:r w:rsidR="00447C89" w:rsidRPr="008A1C09">
        <w:rPr>
          <w:rFonts w:ascii="Times New Roman" w:hAnsi="Times New Roman" w:cs="Times New Roman"/>
          <w:sz w:val="28"/>
          <w:szCs w:val="28"/>
        </w:rPr>
        <w:t xml:space="preserve"> thảo quyết </w:t>
      </w:r>
      <w:r w:rsidR="00447C89" w:rsidRPr="00135BDB">
        <w:rPr>
          <w:rFonts w:ascii="Times New Roman" w:hAnsi="Times New Roman" w:cs="Times New Roman"/>
          <w:color w:val="auto"/>
          <w:sz w:val="28"/>
          <w:szCs w:val="28"/>
        </w:rPr>
        <w:t>định của UBND tỉnh</w:t>
      </w:r>
      <w:r w:rsidR="00CA5C6A" w:rsidRPr="00135BDB">
        <w:rPr>
          <w:rFonts w:ascii="Times New Roman" w:hAnsi="Times New Roman" w:cs="Times New Roman"/>
          <w:color w:val="auto"/>
          <w:sz w:val="28"/>
          <w:szCs w:val="28"/>
        </w:rPr>
        <w:t xml:space="preserve"> </w:t>
      </w:r>
      <w:r w:rsidR="008A1C09" w:rsidRPr="00135BDB">
        <w:rPr>
          <w:rFonts w:ascii="Times New Roman" w:hAnsi="Times New Roman" w:cs="Times New Roman"/>
          <w:color w:val="auto"/>
          <w:sz w:val="28"/>
          <w:szCs w:val="28"/>
        </w:rPr>
        <w:t>phân cấp thẩm quyền quyết định tiêu chuẩn, định mức diện tích chuyên dùng của các cơ quan, tổ chức, đơn vị thuộc phạm vi quản lý của UBND tỉnh Sơn La</w:t>
      </w:r>
      <w:r w:rsidR="009726F7" w:rsidRPr="00135BDB">
        <w:rPr>
          <w:rFonts w:ascii="Times New Roman" w:hAnsi="Times New Roman" w:cs="Times New Roman"/>
          <w:color w:val="auto"/>
          <w:sz w:val="28"/>
          <w:szCs w:val="28"/>
        </w:rPr>
        <w:t>, k</w:t>
      </w:r>
      <w:r w:rsidRPr="00135BDB">
        <w:rPr>
          <w:rFonts w:ascii="Times New Roman" w:hAnsi="Times New Roman" w:cs="Times New Roman"/>
          <w:color w:val="auto"/>
          <w:sz w:val="28"/>
          <w:szCs w:val="28"/>
        </w:rPr>
        <w:t>ết quả như sau:</w:t>
      </w:r>
    </w:p>
    <w:p w:rsidR="004221CA" w:rsidRPr="00135BDB" w:rsidRDefault="004221CA" w:rsidP="00985C87">
      <w:pPr>
        <w:spacing w:before="120" w:line="340" w:lineRule="exact"/>
        <w:ind w:firstLine="720"/>
        <w:rPr>
          <w:rFonts w:ascii="Times New Roman" w:hAnsi="Times New Roman" w:cs="Times New Roman"/>
          <w:b/>
          <w:bCs/>
          <w:color w:val="auto"/>
          <w:sz w:val="28"/>
          <w:szCs w:val="28"/>
          <w:lang w:val="en-US"/>
        </w:rPr>
      </w:pPr>
      <w:r w:rsidRPr="00135BDB">
        <w:rPr>
          <w:rFonts w:ascii="Times New Roman" w:hAnsi="Times New Roman" w:cs="Times New Roman"/>
          <w:b/>
          <w:bCs/>
          <w:color w:val="auto"/>
          <w:sz w:val="28"/>
          <w:szCs w:val="28"/>
        </w:rPr>
        <w:t>I. TỔ CHỨC THỰC HIỆN ĐÁNH GIÁ</w:t>
      </w:r>
    </w:p>
    <w:p w:rsidR="004221CA" w:rsidRPr="00135BDB" w:rsidRDefault="004221CA" w:rsidP="00985C87">
      <w:pPr>
        <w:spacing w:before="120" w:line="340" w:lineRule="exact"/>
        <w:ind w:firstLine="720"/>
        <w:rPr>
          <w:rFonts w:ascii="Times New Roman" w:hAnsi="Times New Roman" w:cs="Times New Roman"/>
          <w:color w:val="auto"/>
          <w:sz w:val="28"/>
          <w:szCs w:val="28"/>
          <w:lang w:val="en-US"/>
        </w:rPr>
      </w:pPr>
      <w:r w:rsidRPr="00135BDB">
        <w:rPr>
          <w:rFonts w:ascii="Times New Roman" w:hAnsi="Times New Roman" w:cs="Times New Roman"/>
          <w:b/>
          <w:bCs/>
          <w:color w:val="auto"/>
          <w:sz w:val="28"/>
          <w:szCs w:val="28"/>
        </w:rPr>
        <w:t>1.</w:t>
      </w:r>
      <w:r w:rsidRPr="00135BDB">
        <w:rPr>
          <w:rFonts w:ascii="Times New Roman" w:hAnsi="Times New Roman" w:cs="Times New Roman"/>
          <w:color w:val="auto"/>
          <w:sz w:val="28"/>
          <w:szCs w:val="28"/>
        </w:rPr>
        <w:t xml:space="preserve"> </w:t>
      </w:r>
      <w:r w:rsidRPr="00135BDB">
        <w:rPr>
          <w:rFonts w:ascii="Times New Roman" w:hAnsi="Times New Roman" w:cs="Times New Roman"/>
          <w:b/>
          <w:color w:val="auto"/>
          <w:sz w:val="28"/>
          <w:szCs w:val="28"/>
        </w:rPr>
        <w:t>Bối cảnh xây dựng dự thảo văn bản quy phạm pháp luật</w:t>
      </w:r>
    </w:p>
    <w:p w:rsidR="00135BDB" w:rsidRPr="00510B10" w:rsidRDefault="00135BDB" w:rsidP="00135BDB">
      <w:pPr>
        <w:spacing w:before="120" w:line="340" w:lineRule="exact"/>
        <w:ind w:firstLine="709"/>
        <w:jc w:val="both"/>
        <w:rPr>
          <w:rFonts w:ascii="Times New Roman" w:hAnsi="Times New Roman"/>
          <w:sz w:val="28"/>
          <w:szCs w:val="28"/>
        </w:rPr>
      </w:pPr>
      <w:r w:rsidRPr="00510B10">
        <w:rPr>
          <w:rFonts w:ascii="Times New Roman" w:hAnsi="Times New Roman"/>
          <w:sz w:val="28"/>
          <w:szCs w:val="28"/>
        </w:rPr>
        <w:t>- Căn cứ Quy định tại Nghị định số </w:t>
      </w:r>
      <w:hyperlink r:id="rId8" w:tgtFrame="_blank" w:tooltip="Nghị định 152/2017/NĐ-CP" w:history="1">
        <w:r w:rsidRPr="00510B10">
          <w:rPr>
            <w:rFonts w:ascii="Times New Roman" w:hAnsi="Times New Roman"/>
            <w:sz w:val="28"/>
            <w:szCs w:val="28"/>
          </w:rPr>
          <w:t>152/2017/NĐ-CP</w:t>
        </w:r>
      </w:hyperlink>
      <w:r w:rsidRPr="00510B10">
        <w:rPr>
          <w:rFonts w:ascii="Times New Roman" w:hAnsi="Times New Roman"/>
          <w:sz w:val="28"/>
          <w:szCs w:val="28"/>
        </w:rPr>
        <w:t xml:space="preserve"> ngày 27/12/2017 của Chính phủ quy định tiêu chuẩn, định mức sử dụng trụ sở làm việc, cơ sở hoạt động sự nghiệp; Sở Tài chính đã tham mưu trình UBND tỉnh ban hành Quyết định số 38/2025/QĐ-UBND ngày 08/4/2025 của UBND tỉnh ban hành tiêu chuẩn, định mức sử dụng diện tích chuyên dùng thuộc trụ sở làm việc của cơ quan, tổ chức và phân cấp thẩm quyền ban hành tiêu chuẩn, định mức sử dụng công trình sự nghiệp của đơn vị sự nghiệp công lập thuộc phạm vi quản lý của tỉnh Sơn La. </w:t>
      </w:r>
    </w:p>
    <w:p w:rsidR="00135BDB" w:rsidRPr="00510B10" w:rsidRDefault="00135BDB" w:rsidP="00135BDB">
      <w:pPr>
        <w:spacing w:before="120" w:line="340" w:lineRule="exact"/>
        <w:ind w:firstLine="709"/>
        <w:jc w:val="both"/>
        <w:rPr>
          <w:rFonts w:ascii="Times New Roman" w:hAnsi="Times New Roman"/>
          <w:sz w:val="28"/>
          <w:szCs w:val="28"/>
        </w:rPr>
      </w:pPr>
      <w:r w:rsidRPr="00510B10">
        <w:rPr>
          <w:rFonts w:ascii="Times New Roman" w:hAnsi="Times New Roman"/>
          <w:sz w:val="28"/>
          <w:szCs w:val="28"/>
        </w:rPr>
        <w:t xml:space="preserve">- Đến ngày 16/6/2025, </w:t>
      </w:r>
      <w:r w:rsidR="00072AB6">
        <w:rPr>
          <w:rFonts w:ascii="Times New Roman" w:hAnsi="Times New Roman"/>
          <w:sz w:val="28"/>
          <w:szCs w:val="28"/>
        </w:rPr>
        <w:t xml:space="preserve">Chính phủ đã ban hành </w:t>
      </w:r>
      <w:r w:rsidR="00072AB6">
        <w:rPr>
          <w:rFonts w:ascii="Times New Roman" w:hAnsi="Times New Roman"/>
          <w:sz w:val="28"/>
          <w:szCs w:val="28"/>
          <w:lang w:val="en-US"/>
        </w:rPr>
        <w:t>Nghị</w:t>
      </w:r>
      <w:r w:rsidRPr="00510B10">
        <w:rPr>
          <w:rFonts w:ascii="Times New Roman" w:hAnsi="Times New Roman"/>
          <w:sz w:val="28"/>
          <w:szCs w:val="28"/>
        </w:rPr>
        <w:t xml:space="preserve"> định số 155/2025/NĐ-CP thay thế Nghị định số </w:t>
      </w:r>
      <w:hyperlink r:id="rId9" w:tgtFrame="_blank" w:tooltip="Nghị định 152/2017/NĐ-CP" w:history="1">
        <w:r w:rsidRPr="00510B10">
          <w:rPr>
            <w:rFonts w:ascii="Times New Roman" w:hAnsi="Times New Roman"/>
            <w:sz w:val="28"/>
            <w:szCs w:val="28"/>
          </w:rPr>
          <w:t>152/2017/NĐ-CP</w:t>
        </w:r>
      </w:hyperlink>
      <w:r w:rsidRPr="00510B10">
        <w:rPr>
          <w:rFonts w:ascii="Times New Roman" w:hAnsi="Times New Roman"/>
          <w:sz w:val="28"/>
          <w:szCs w:val="28"/>
        </w:rPr>
        <w:t>, trong đó có quy định như sau:</w:t>
      </w:r>
    </w:p>
    <w:p w:rsidR="00135BDB" w:rsidRPr="00510B10" w:rsidRDefault="00135BDB" w:rsidP="00135BDB">
      <w:pPr>
        <w:spacing w:before="120" w:line="340" w:lineRule="exact"/>
        <w:ind w:firstLine="709"/>
        <w:jc w:val="both"/>
        <w:rPr>
          <w:rFonts w:ascii="Times New Roman" w:hAnsi="Times New Roman"/>
          <w:sz w:val="28"/>
          <w:szCs w:val="28"/>
        </w:rPr>
      </w:pPr>
      <w:r w:rsidRPr="00510B10">
        <w:rPr>
          <w:rFonts w:ascii="Times New Roman" w:hAnsi="Times New Roman"/>
          <w:sz w:val="28"/>
          <w:szCs w:val="28"/>
        </w:rPr>
        <w:t xml:space="preserve">+ Tại điểm đ khoản 2 Điều 7 quy định </w:t>
      </w:r>
      <w:r w:rsidRPr="00510B10">
        <w:rPr>
          <w:rFonts w:ascii="Times New Roman" w:hAnsi="Times New Roman"/>
          <w:bCs/>
          <w:sz w:val="28"/>
          <w:szCs w:val="28"/>
          <w:shd w:val="clear" w:color="auto" w:fill="FFFFFF"/>
        </w:rPr>
        <w:t>thẩm quyền quyết định tiêu chuẩn, định mức diện tích chuyên dùng của cơ quan, tổ chức như sau</w:t>
      </w:r>
      <w:r w:rsidRPr="00510B10">
        <w:rPr>
          <w:rFonts w:ascii="Times New Roman" w:hAnsi="Times New Roman"/>
          <w:sz w:val="28"/>
          <w:szCs w:val="28"/>
        </w:rPr>
        <w:t xml:space="preserve">: </w:t>
      </w:r>
    </w:p>
    <w:p w:rsidR="00135BDB" w:rsidRPr="00510B10" w:rsidRDefault="00135BDB" w:rsidP="00135BDB">
      <w:pPr>
        <w:pStyle w:val="NormalWeb"/>
        <w:shd w:val="clear" w:color="auto" w:fill="FFFFFF"/>
        <w:spacing w:before="120" w:beforeAutospacing="0" w:after="0" w:afterAutospacing="0" w:line="340" w:lineRule="exact"/>
        <w:ind w:firstLine="709"/>
        <w:jc w:val="both"/>
        <w:rPr>
          <w:rFonts w:eastAsia="Calibri"/>
          <w:bCs/>
          <w:i/>
          <w:color w:val="000000"/>
          <w:sz w:val="28"/>
          <w:szCs w:val="28"/>
          <w:shd w:val="clear" w:color="auto" w:fill="FFFFFF"/>
        </w:rPr>
      </w:pPr>
      <w:r w:rsidRPr="00510B10">
        <w:rPr>
          <w:rFonts w:eastAsia="Calibri"/>
          <w:bCs/>
          <w:i/>
          <w:color w:val="000000"/>
          <w:sz w:val="28"/>
          <w:szCs w:val="28"/>
          <w:shd w:val="clear" w:color="auto" w:fill="FFFFFF"/>
        </w:rPr>
        <w:t>“2. Căn cứ chức năng, nhiệm vụ, văn bản thể hiện nhiệm vụ đặc thù của cơ quan, tổ chức, nhu cầu sử dụng thực tế và quy định khác có liên quan, cơ quan, người có thẩm quyền quyết định tiêu chuẩn, định mức diện tích chuyên dùng, cụ thể như sau:</w:t>
      </w:r>
    </w:p>
    <w:p w:rsidR="00135BDB" w:rsidRPr="00510B10" w:rsidRDefault="00135BDB" w:rsidP="00135BDB">
      <w:pPr>
        <w:pStyle w:val="NormalWeb"/>
        <w:shd w:val="clear" w:color="auto" w:fill="FFFFFF"/>
        <w:spacing w:before="120" w:beforeAutospacing="0" w:after="0" w:afterAutospacing="0" w:line="340" w:lineRule="exact"/>
        <w:ind w:firstLine="709"/>
        <w:jc w:val="both"/>
        <w:rPr>
          <w:rFonts w:eastAsia="Calibri"/>
          <w:bCs/>
          <w:i/>
          <w:color w:val="000000"/>
          <w:sz w:val="28"/>
          <w:szCs w:val="28"/>
          <w:shd w:val="clear" w:color="auto" w:fill="FFFFFF"/>
        </w:rPr>
      </w:pPr>
      <w:r w:rsidRPr="00510B10">
        <w:rPr>
          <w:rFonts w:eastAsia="Calibri"/>
          <w:bCs/>
          <w:i/>
          <w:color w:val="000000"/>
          <w:sz w:val="28"/>
          <w:szCs w:val="28"/>
          <w:shd w:val="clear" w:color="auto" w:fill="FFFFFF"/>
        </w:rPr>
        <w:t>….</w:t>
      </w:r>
    </w:p>
    <w:p w:rsidR="00135BDB" w:rsidRPr="00510B10" w:rsidRDefault="00135BDB" w:rsidP="00135BDB">
      <w:pPr>
        <w:pStyle w:val="NormalWeb"/>
        <w:shd w:val="clear" w:color="auto" w:fill="FFFFFF"/>
        <w:spacing w:before="120" w:beforeAutospacing="0" w:after="0" w:afterAutospacing="0" w:line="340" w:lineRule="exact"/>
        <w:ind w:firstLine="709"/>
        <w:jc w:val="both"/>
        <w:rPr>
          <w:rFonts w:eastAsia="Calibri"/>
          <w:bCs/>
          <w:i/>
          <w:color w:val="000000"/>
          <w:spacing w:val="-2"/>
          <w:sz w:val="28"/>
          <w:szCs w:val="28"/>
          <w:shd w:val="clear" w:color="auto" w:fill="FFFFFF"/>
        </w:rPr>
      </w:pPr>
      <w:r w:rsidRPr="00510B10">
        <w:rPr>
          <w:rFonts w:eastAsia="Calibri"/>
          <w:bCs/>
          <w:i/>
          <w:color w:val="000000"/>
          <w:spacing w:val="-2"/>
          <w:sz w:val="28"/>
          <w:szCs w:val="28"/>
          <w:shd w:val="clear" w:color="auto" w:fill="FFFFFF"/>
        </w:rPr>
        <w:t xml:space="preserve">đ) Ủy ban nhân dân các tỉnh, thành phố trực thuộc trung ương (sau đây gọi là Ủy ban nhân dân cấp tỉnh) quyết định hoặc phân cấp thẩm quyền quyết định </w:t>
      </w:r>
      <w:r w:rsidRPr="00510B10">
        <w:rPr>
          <w:rFonts w:eastAsia="Calibri"/>
          <w:bCs/>
          <w:i/>
          <w:color w:val="000000"/>
          <w:spacing w:val="-2"/>
          <w:sz w:val="28"/>
          <w:szCs w:val="28"/>
          <w:shd w:val="clear" w:color="auto" w:fill="FFFFFF"/>
        </w:rPr>
        <w:lastRenderedPageBreak/>
        <w:t>theo </w:t>
      </w:r>
      <w:bookmarkStart w:id="1" w:name="tvpllink_aarfhuvvql_1"/>
      <w:r w:rsidR="00412773" w:rsidRPr="00510B10">
        <w:rPr>
          <w:rFonts w:eastAsia="Calibri"/>
          <w:bCs/>
          <w:i/>
          <w:color w:val="000000"/>
          <w:spacing w:val="-2"/>
          <w:sz w:val="28"/>
          <w:szCs w:val="28"/>
          <w:shd w:val="clear" w:color="auto" w:fill="FFFFFF"/>
        </w:rPr>
        <w:fldChar w:fldCharType="begin"/>
      </w:r>
      <w:r w:rsidRPr="00510B10">
        <w:rPr>
          <w:rFonts w:eastAsia="Calibri"/>
          <w:bCs/>
          <w:i/>
          <w:color w:val="000000"/>
          <w:spacing w:val="-2"/>
          <w:sz w:val="28"/>
          <w:szCs w:val="28"/>
          <w:shd w:val="clear" w:color="auto" w:fill="FFFFFF"/>
        </w:rPr>
        <w:instrText xml:space="preserve"> HYPERLINK "https://thuvienphapluat.vn/van-ban/Bo-may-hanh-chinh/Luat-To-chuc-chinh-quyen-dia-phuong-2025-so-65-2025-QH15-639241.aspx" \t "_blank" </w:instrText>
      </w:r>
      <w:r w:rsidR="00412773" w:rsidRPr="00510B10">
        <w:rPr>
          <w:rFonts w:eastAsia="Calibri"/>
          <w:bCs/>
          <w:i/>
          <w:color w:val="000000"/>
          <w:spacing w:val="-2"/>
          <w:sz w:val="28"/>
          <w:szCs w:val="28"/>
          <w:shd w:val="clear" w:color="auto" w:fill="FFFFFF"/>
        </w:rPr>
        <w:fldChar w:fldCharType="separate"/>
      </w:r>
      <w:r w:rsidRPr="00510B10">
        <w:rPr>
          <w:rFonts w:eastAsia="Calibri"/>
          <w:bCs/>
          <w:i/>
          <w:color w:val="000000"/>
          <w:spacing w:val="-2"/>
          <w:sz w:val="28"/>
          <w:szCs w:val="28"/>
          <w:shd w:val="clear" w:color="auto" w:fill="FFFFFF"/>
        </w:rPr>
        <w:t>Luật Tổ chức chính quyền địa phương</w:t>
      </w:r>
      <w:r w:rsidR="00412773" w:rsidRPr="00510B10">
        <w:rPr>
          <w:rFonts w:eastAsia="Calibri"/>
          <w:bCs/>
          <w:i/>
          <w:color w:val="000000"/>
          <w:spacing w:val="-2"/>
          <w:sz w:val="28"/>
          <w:szCs w:val="28"/>
          <w:shd w:val="clear" w:color="auto" w:fill="FFFFFF"/>
        </w:rPr>
        <w:fldChar w:fldCharType="end"/>
      </w:r>
      <w:bookmarkEnd w:id="1"/>
      <w:r w:rsidRPr="00510B10">
        <w:rPr>
          <w:rFonts w:eastAsia="Calibri"/>
          <w:bCs/>
          <w:i/>
          <w:color w:val="000000"/>
          <w:spacing w:val="-2"/>
          <w:sz w:val="28"/>
          <w:szCs w:val="28"/>
          <w:shd w:val="clear" w:color="auto" w:fill="FFFFFF"/>
        </w:rPr>
        <w:t>, Luật khác có liên quan đối với các cơ quan, tổ chức của địa phương; trừ trường hợp quy định tại điểm d khoản này.”</w:t>
      </w:r>
    </w:p>
    <w:p w:rsidR="00135BDB" w:rsidRPr="00510B10" w:rsidRDefault="00135BDB" w:rsidP="00135BDB">
      <w:pPr>
        <w:spacing w:before="120" w:line="340" w:lineRule="exact"/>
        <w:ind w:firstLine="709"/>
        <w:jc w:val="both"/>
        <w:rPr>
          <w:rFonts w:ascii="Times New Roman" w:hAnsi="Times New Roman"/>
          <w:bCs/>
          <w:sz w:val="28"/>
          <w:szCs w:val="28"/>
          <w:shd w:val="clear" w:color="auto" w:fill="FFFFFF"/>
        </w:rPr>
      </w:pPr>
      <w:r w:rsidRPr="00510B10">
        <w:rPr>
          <w:rFonts w:ascii="Times New Roman" w:hAnsi="Times New Roman"/>
          <w:bCs/>
          <w:sz w:val="28"/>
          <w:szCs w:val="28"/>
          <w:shd w:val="clear" w:color="auto" w:fill="FFFFFF"/>
        </w:rPr>
        <w:t xml:space="preserve">Như vậy, UBND tỉnh có thể quyết định hoặc phân cấp thẩm quyền quyết định tiêu chuẩn, định mức diện tích chuyên dùng theo các quy định hiện hành (trước đây Ủy ban nhân dân tỉnh chỉ có quyền quyết định). </w:t>
      </w:r>
    </w:p>
    <w:p w:rsidR="00135BDB" w:rsidRPr="00510B10" w:rsidRDefault="00135BDB" w:rsidP="00135BDB">
      <w:pPr>
        <w:spacing w:before="120" w:line="340" w:lineRule="exact"/>
        <w:ind w:firstLine="709"/>
        <w:jc w:val="both"/>
        <w:rPr>
          <w:rFonts w:ascii="Times New Roman" w:hAnsi="Times New Roman"/>
          <w:bCs/>
          <w:sz w:val="28"/>
          <w:szCs w:val="28"/>
          <w:shd w:val="clear" w:color="auto" w:fill="FFFFFF"/>
        </w:rPr>
      </w:pPr>
      <w:r w:rsidRPr="00510B10">
        <w:rPr>
          <w:rFonts w:ascii="Times New Roman" w:hAnsi="Times New Roman"/>
          <w:bCs/>
          <w:sz w:val="28"/>
          <w:szCs w:val="28"/>
          <w:shd w:val="clear" w:color="auto" w:fill="FFFFFF"/>
        </w:rPr>
        <w:t xml:space="preserve">+ </w:t>
      </w:r>
      <w:r w:rsidRPr="00510B10">
        <w:rPr>
          <w:rFonts w:ascii="Times New Roman" w:hAnsi="Times New Roman"/>
          <w:bCs/>
          <w:sz w:val="28"/>
          <w:szCs w:val="28"/>
          <w:lang w:val="es-MX"/>
        </w:rPr>
        <w:t xml:space="preserve">Tại điểm đ khoản 2 Điều 11 </w:t>
      </w:r>
      <w:r w:rsidRPr="00510B10">
        <w:rPr>
          <w:rFonts w:ascii="Times New Roman" w:hAnsi="Times New Roman"/>
          <w:bCs/>
          <w:sz w:val="28"/>
          <w:szCs w:val="28"/>
          <w:shd w:val="clear" w:color="auto" w:fill="FFFFFF"/>
        </w:rPr>
        <w:t xml:space="preserve">Nghị định số 155/2025/NĐ-CP quy định </w:t>
      </w:r>
      <w:r w:rsidRPr="00510B10">
        <w:rPr>
          <w:rFonts w:ascii="Times New Roman" w:hAnsi="Times New Roman"/>
          <w:bCs/>
          <w:sz w:val="28"/>
          <w:szCs w:val="28"/>
          <w:lang w:val="es-MX"/>
        </w:rPr>
        <w:t>thẩm quyền quyết định tiêu chuẩn, định mức diện tích chuyên dùng của đơn vị sự nghiệp công lập như sau</w:t>
      </w:r>
      <w:r w:rsidRPr="00510B10">
        <w:rPr>
          <w:rFonts w:ascii="Times New Roman" w:hAnsi="Times New Roman"/>
          <w:bCs/>
          <w:sz w:val="28"/>
          <w:szCs w:val="28"/>
          <w:shd w:val="clear" w:color="auto" w:fill="FFFFFF"/>
        </w:rPr>
        <w:t xml:space="preserve">: </w:t>
      </w:r>
    </w:p>
    <w:p w:rsidR="00135BDB" w:rsidRPr="00510B10" w:rsidRDefault="00135BDB" w:rsidP="00135BDB">
      <w:pPr>
        <w:spacing w:before="120" w:line="340" w:lineRule="exact"/>
        <w:ind w:firstLine="709"/>
        <w:jc w:val="both"/>
        <w:rPr>
          <w:rFonts w:ascii="Times New Roman" w:hAnsi="Times New Roman"/>
          <w:bCs/>
          <w:i/>
          <w:sz w:val="28"/>
          <w:szCs w:val="28"/>
          <w:lang w:val="es-MX"/>
        </w:rPr>
      </w:pPr>
      <w:r w:rsidRPr="00510B10">
        <w:rPr>
          <w:rFonts w:ascii="Times New Roman" w:hAnsi="Times New Roman"/>
          <w:bCs/>
          <w:i/>
          <w:sz w:val="28"/>
          <w:szCs w:val="28"/>
          <w:lang w:val="es-MX"/>
        </w:rPr>
        <w:t xml:space="preserve">“2. Căn cứ chức năng, nhiệm vụ, văn bản thể hiện nhiệm vụ đặc thù của đơn vị, nhu cầu sử dụng thực tế và quy định khác có liên quan, cơ quan, người có thẩm quyền quyết định tiêu chuẩn, định mức diện tích chuyên dùng, cụ thể như sau: </w:t>
      </w:r>
    </w:p>
    <w:p w:rsidR="00135BDB" w:rsidRPr="00510B10" w:rsidRDefault="00135BDB" w:rsidP="00135BDB">
      <w:pPr>
        <w:spacing w:before="120" w:line="340" w:lineRule="exact"/>
        <w:ind w:firstLine="709"/>
        <w:jc w:val="both"/>
        <w:rPr>
          <w:rFonts w:ascii="Times New Roman" w:hAnsi="Times New Roman"/>
          <w:bCs/>
          <w:i/>
          <w:sz w:val="28"/>
          <w:szCs w:val="28"/>
          <w:lang w:val="es-MX"/>
        </w:rPr>
      </w:pPr>
      <w:r w:rsidRPr="00510B10">
        <w:rPr>
          <w:rFonts w:ascii="Times New Roman" w:hAnsi="Times New Roman"/>
          <w:bCs/>
          <w:i/>
          <w:sz w:val="28"/>
          <w:szCs w:val="28"/>
          <w:lang w:val="es-MX"/>
        </w:rPr>
        <w:t>…</w:t>
      </w:r>
    </w:p>
    <w:p w:rsidR="00135BDB" w:rsidRPr="00510B10" w:rsidRDefault="00135BDB" w:rsidP="00135BDB">
      <w:pPr>
        <w:spacing w:before="120" w:line="340" w:lineRule="exact"/>
        <w:ind w:firstLine="709"/>
        <w:jc w:val="both"/>
        <w:rPr>
          <w:rFonts w:ascii="Times New Roman" w:hAnsi="Times New Roman"/>
          <w:bCs/>
          <w:i/>
          <w:sz w:val="28"/>
          <w:szCs w:val="28"/>
          <w:lang w:val="es-MX"/>
        </w:rPr>
      </w:pPr>
      <w:r w:rsidRPr="00510B10">
        <w:rPr>
          <w:rFonts w:ascii="Times New Roman" w:hAnsi="Times New Roman"/>
          <w:bCs/>
          <w:i/>
          <w:sz w:val="28"/>
          <w:szCs w:val="28"/>
          <w:lang w:val="es-MX"/>
        </w:rPr>
        <w:t>đ) Ủy ban nhân dân cấp tỉnh quyết định hoặc phân cấp thẩm quyền quyết định theo </w:t>
      </w:r>
      <w:bookmarkStart w:id="2" w:name="tvpllink_aarfhuvvql_2"/>
      <w:r w:rsidR="00412773" w:rsidRPr="00510B10">
        <w:rPr>
          <w:rFonts w:ascii="Times New Roman" w:hAnsi="Times New Roman"/>
          <w:bCs/>
          <w:i/>
          <w:sz w:val="28"/>
          <w:szCs w:val="28"/>
          <w:lang w:val="es-MX"/>
        </w:rPr>
        <w:fldChar w:fldCharType="begin"/>
      </w:r>
      <w:r w:rsidRPr="00510B10">
        <w:rPr>
          <w:rFonts w:ascii="Times New Roman" w:hAnsi="Times New Roman"/>
          <w:bCs/>
          <w:i/>
          <w:sz w:val="28"/>
          <w:szCs w:val="28"/>
          <w:lang w:val="es-MX"/>
        </w:rPr>
        <w:instrText xml:space="preserve"> HYPERLINK "https://thuvienphapluat.vn/van-ban/Bo-may-hanh-chinh/Luat-To-chuc-chinh-quyen-dia-phuong-2025-so-65-2025-QH15-639241.aspx" \t "_blank" </w:instrText>
      </w:r>
      <w:r w:rsidR="00412773" w:rsidRPr="00510B10">
        <w:rPr>
          <w:rFonts w:ascii="Times New Roman" w:hAnsi="Times New Roman"/>
          <w:bCs/>
          <w:i/>
          <w:sz w:val="28"/>
          <w:szCs w:val="28"/>
          <w:lang w:val="es-MX"/>
        </w:rPr>
        <w:fldChar w:fldCharType="separate"/>
      </w:r>
      <w:r w:rsidRPr="00510B10">
        <w:rPr>
          <w:rFonts w:ascii="Times New Roman" w:hAnsi="Times New Roman"/>
          <w:bCs/>
          <w:i/>
          <w:sz w:val="28"/>
          <w:szCs w:val="28"/>
          <w:lang w:val="es-MX"/>
        </w:rPr>
        <w:t>Luật Tổ chức chính quyền địa phương</w:t>
      </w:r>
      <w:r w:rsidR="00412773" w:rsidRPr="00510B10">
        <w:rPr>
          <w:rFonts w:ascii="Times New Roman" w:hAnsi="Times New Roman"/>
          <w:bCs/>
          <w:i/>
          <w:sz w:val="28"/>
          <w:szCs w:val="28"/>
          <w:lang w:val="es-MX"/>
        </w:rPr>
        <w:fldChar w:fldCharType="end"/>
      </w:r>
      <w:bookmarkEnd w:id="2"/>
      <w:r w:rsidRPr="00510B10">
        <w:rPr>
          <w:rFonts w:ascii="Times New Roman" w:hAnsi="Times New Roman"/>
          <w:bCs/>
          <w:i/>
          <w:sz w:val="28"/>
          <w:szCs w:val="28"/>
          <w:lang w:val="es-MX"/>
        </w:rPr>
        <w:t>, Luật khác có liên quan đối với đơn vị của địa phương; trừ trường hợp quy định tại điểm d, điểm e khoản này;”</w:t>
      </w:r>
    </w:p>
    <w:p w:rsidR="00135BDB" w:rsidRPr="00510B10" w:rsidRDefault="00135BDB" w:rsidP="00135BDB">
      <w:pPr>
        <w:spacing w:before="120" w:line="340" w:lineRule="exact"/>
        <w:ind w:firstLine="709"/>
        <w:jc w:val="both"/>
        <w:rPr>
          <w:rFonts w:ascii="Times New Roman" w:hAnsi="Times New Roman"/>
          <w:bCs/>
          <w:sz w:val="28"/>
          <w:szCs w:val="28"/>
          <w:shd w:val="clear" w:color="auto" w:fill="FFFFFF"/>
        </w:rPr>
      </w:pPr>
      <w:r w:rsidRPr="00510B10">
        <w:rPr>
          <w:rFonts w:ascii="Times New Roman" w:hAnsi="Times New Roman"/>
          <w:bCs/>
          <w:sz w:val="28"/>
          <w:szCs w:val="28"/>
          <w:shd w:val="clear" w:color="auto" w:fill="FFFFFF"/>
        </w:rPr>
        <w:t>+ Tại Điều 12 Nghị định số 155/2025/NĐ-CP quy định về diện tích công trình sự nghiệp như sau:</w:t>
      </w:r>
    </w:p>
    <w:p w:rsidR="00135BDB" w:rsidRPr="00510B10" w:rsidRDefault="00135BDB" w:rsidP="00135BDB">
      <w:pPr>
        <w:spacing w:before="120" w:line="340" w:lineRule="exact"/>
        <w:ind w:firstLine="709"/>
        <w:rPr>
          <w:rFonts w:ascii="Times New Roman" w:hAnsi="Times New Roman"/>
          <w:i/>
          <w:sz w:val="28"/>
          <w:szCs w:val="28"/>
        </w:rPr>
      </w:pPr>
      <w:r w:rsidRPr="00510B10">
        <w:rPr>
          <w:rFonts w:ascii="Times New Roman" w:hAnsi="Times New Roman"/>
          <w:bCs/>
          <w:i/>
          <w:sz w:val="28"/>
          <w:szCs w:val="28"/>
          <w:shd w:val="clear" w:color="auto" w:fill="FFFFFF"/>
        </w:rPr>
        <w:t>“</w:t>
      </w:r>
      <w:bookmarkStart w:id="3" w:name="dieu_12"/>
      <w:r w:rsidRPr="00510B10">
        <w:rPr>
          <w:rFonts w:ascii="Times New Roman" w:hAnsi="Times New Roman"/>
          <w:bCs/>
          <w:i/>
          <w:sz w:val="28"/>
          <w:szCs w:val="28"/>
        </w:rPr>
        <w:t>Điều 12. Diện tích công trình sự nghiệp</w:t>
      </w:r>
      <w:bookmarkEnd w:id="3"/>
    </w:p>
    <w:p w:rsidR="00135BDB" w:rsidRPr="00510B10" w:rsidRDefault="00135BDB" w:rsidP="00135BDB">
      <w:pPr>
        <w:pStyle w:val="NormalWeb"/>
        <w:shd w:val="clear" w:color="auto" w:fill="FFFFFF"/>
        <w:spacing w:before="120" w:beforeAutospacing="0" w:after="0" w:afterAutospacing="0" w:line="340" w:lineRule="exact"/>
        <w:ind w:firstLine="709"/>
        <w:jc w:val="both"/>
        <w:rPr>
          <w:i/>
          <w:color w:val="000000"/>
          <w:sz w:val="28"/>
          <w:szCs w:val="28"/>
        </w:rPr>
      </w:pPr>
      <w:r w:rsidRPr="00510B10">
        <w:rPr>
          <w:i/>
          <w:color w:val="000000"/>
          <w:sz w:val="28"/>
          <w:szCs w:val="28"/>
        </w:rPr>
        <w:t>…</w:t>
      </w:r>
    </w:p>
    <w:p w:rsidR="00135BDB" w:rsidRPr="00510B10" w:rsidRDefault="00135BDB" w:rsidP="00135BDB">
      <w:pPr>
        <w:pStyle w:val="NormalWeb"/>
        <w:shd w:val="clear" w:color="auto" w:fill="FFFFFF"/>
        <w:spacing w:before="120" w:beforeAutospacing="0" w:after="0" w:afterAutospacing="0" w:line="340" w:lineRule="exact"/>
        <w:ind w:firstLine="709"/>
        <w:jc w:val="both"/>
        <w:rPr>
          <w:i/>
          <w:color w:val="000000"/>
          <w:sz w:val="28"/>
          <w:szCs w:val="28"/>
        </w:rPr>
      </w:pPr>
      <w:r w:rsidRPr="00510B10">
        <w:rPr>
          <w:i/>
          <w:color w:val="000000"/>
          <w:sz w:val="28"/>
          <w:szCs w:val="28"/>
        </w:rPr>
        <w:t>2. Diện tích công trình sự nghiệp quy định tại điểm a khoản 1 Điều này</w:t>
      </w:r>
    </w:p>
    <w:p w:rsidR="00135BDB" w:rsidRPr="00510B10" w:rsidRDefault="00135BDB" w:rsidP="00135BDB">
      <w:pPr>
        <w:pStyle w:val="NormalWeb"/>
        <w:shd w:val="clear" w:color="auto" w:fill="FFFFFF"/>
        <w:spacing w:before="120" w:beforeAutospacing="0" w:after="0" w:afterAutospacing="0" w:line="340" w:lineRule="exact"/>
        <w:ind w:firstLine="709"/>
        <w:jc w:val="both"/>
        <w:rPr>
          <w:i/>
          <w:color w:val="000000"/>
          <w:sz w:val="28"/>
          <w:szCs w:val="28"/>
        </w:rPr>
      </w:pPr>
      <w:r w:rsidRPr="00510B10">
        <w:rPr>
          <w:i/>
          <w:color w:val="000000"/>
          <w:sz w:val="28"/>
          <w:szCs w:val="28"/>
        </w:rPr>
        <w:t>…</w:t>
      </w:r>
    </w:p>
    <w:p w:rsidR="00135BDB" w:rsidRPr="00510B10" w:rsidRDefault="00135BDB" w:rsidP="00135BDB">
      <w:pPr>
        <w:pStyle w:val="NormalWeb"/>
        <w:shd w:val="clear" w:color="auto" w:fill="FFFFFF"/>
        <w:spacing w:before="120" w:beforeAutospacing="0" w:after="0" w:afterAutospacing="0" w:line="340" w:lineRule="exact"/>
        <w:ind w:firstLine="709"/>
        <w:jc w:val="both"/>
        <w:rPr>
          <w:i/>
          <w:color w:val="000000"/>
          <w:sz w:val="28"/>
          <w:szCs w:val="28"/>
        </w:rPr>
      </w:pPr>
      <w:r w:rsidRPr="00510B10">
        <w:rPr>
          <w:i/>
          <w:color w:val="000000"/>
          <w:sz w:val="28"/>
          <w:szCs w:val="28"/>
        </w:rPr>
        <w:t xml:space="preserve">b) Căn cứ quy định chi tiết hướng dẫn của Bộ trưởng Bộ Y tế, Bộ trưởng Bộ Giáo dục và Đào tạo tại điểm a khoản này, </w:t>
      </w:r>
      <w:r w:rsidRPr="00510B10">
        <w:rPr>
          <w:i/>
          <w:color w:val="000000"/>
          <w:sz w:val="28"/>
          <w:szCs w:val="28"/>
          <w:u w:val="single"/>
        </w:rPr>
        <w:t>cơ quan, người có thẩm quyền quy định tại khoản 2 Điều 11 Nghị định này quyết định tiêu chuẩn, định mức diện tích công trình sự nghiệp</w:t>
      </w:r>
      <w:r w:rsidRPr="00510B10">
        <w:rPr>
          <w:i/>
          <w:color w:val="000000"/>
          <w:sz w:val="28"/>
          <w:szCs w:val="28"/>
        </w:rPr>
        <w:t xml:space="preserve"> trong lĩnh vực y tế, giáo dục và đào tạo của các đơn vị quy định tại </w:t>
      </w:r>
      <w:bookmarkStart w:id="4" w:name="tc_13"/>
      <w:r w:rsidRPr="00510B10">
        <w:rPr>
          <w:i/>
          <w:color w:val="000000"/>
          <w:sz w:val="28"/>
          <w:szCs w:val="28"/>
        </w:rPr>
        <w:t>khoản 2 Điều 11 Nghị định này</w:t>
      </w:r>
      <w:bookmarkEnd w:id="4"/>
      <w:r w:rsidRPr="00510B10">
        <w:rPr>
          <w:i/>
          <w:color w:val="000000"/>
          <w:sz w:val="28"/>
          <w:szCs w:val="28"/>
        </w:rPr>
        <w:t>;</w:t>
      </w:r>
    </w:p>
    <w:p w:rsidR="00135BDB" w:rsidRPr="00510B10" w:rsidRDefault="00135BDB" w:rsidP="00135BDB">
      <w:pPr>
        <w:pStyle w:val="NormalWeb"/>
        <w:shd w:val="clear" w:color="auto" w:fill="FFFFFF"/>
        <w:spacing w:before="120" w:beforeAutospacing="0" w:after="0" w:afterAutospacing="0" w:line="340" w:lineRule="exact"/>
        <w:ind w:firstLine="709"/>
        <w:jc w:val="both"/>
        <w:rPr>
          <w:i/>
          <w:color w:val="000000"/>
          <w:sz w:val="28"/>
          <w:szCs w:val="28"/>
        </w:rPr>
      </w:pPr>
      <w:r w:rsidRPr="00510B10">
        <w:rPr>
          <w:i/>
          <w:color w:val="000000"/>
          <w:sz w:val="28"/>
          <w:szCs w:val="28"/>
        </w:rPr>
        <w:t>…</w:t>
      </w:r>
    </w:p>
    <w:p w:rsidR="00135BDB" w:rsidRPr="00510B10" w:rsidRDefault="00135BDB" w:rsidP="00135BDB">
      <w:pPr>
        <w:pStyle w:val="NormalWeb"/>
        <w:shd w:val="clear" w:color="auto" w:fill="FFFFFF"/>
        <w:spacing w:before="120" w:beforeAutospacing="0" w:after="0" w:afterAutospacing="0" w:line="340" w:lineRule="exact"/>
        <w:ind w:firstLine="709"/>
        <w:jc w:val="both"/>
        <w:rPr>
          <w:i/>
          <w:color w:val="000000"/>
          <w:spacing w:val="-4"/>
          <w:sz w:val="28"/>
          <w:szCs w:val="28"/>
        </w:rPr>
      </w:pPr>
      <w:r w:rsidRPr="00510B10">
        <w:rPr>
          <w:i/>
          <w:color w:val="000000"/>
          <w:spacing w:val="-4"/>
          <w:sz w:val="28"/>
          <w:szCs w:val="28"/>
        </w:rPr>
        <w:t>3. Diện tích công trình sự nghiệp khác quy định tại điểm b khoản 1 Điều này</w:t>
      </w:r>
    </w:p>
    <w:p w:rsidR="00135BDB" w:rsidRPr="00510B10" w:rsidRDefault="00135BDB" w:rsidP="00135BDB">
      <w:pPr>
        <w:pStyle w:val="NormalWeb"/>
        <w:shd w:val="clear" w:color="auto" w:fill="FFFFFF"/>
        <w:spacing w:before="120" w:beforeAutospacing="0" w:after="0" w:afterAutospacing="0" w:line="340" w:lineRule="exact"/>
        <w:ind w:firstLine="709"/>
        <w:jc w:val="both"/>
        <w:rPr>
          <w:i/>
          <w:color w:val="000000"/>
          <w:sz w:val="28"/>
          <w:szCs w:val="28"/>
        </w:rPr>
      </w:pPr>
      <w:r w:rsidRPr="00510B10">
        <w:rPr>
          <w:i/>
          <w:color w:val="000000"/>
          <w:sz w:val="28"/>
          <w:szCs w:val="28"/>
        </w:rPr>
        <w:t xml:space="preserve">Căn cứ quy định về chức năng, nhiệm vụ, hoạt động đặc thù của đơn vị và các quy định khác có liên quan, </w:t>
      </w:r>
      <w:r w:rsidRPr="00510B10">
        <w:rPr>
          <w:i/>
          <w:color w:val="000000"/>
          <w:sz w:val="28"/>
          <w:szCs w:val="28"/>
          <w:u w:val="single"/>
        </w:rPr>
        <w:t>cơ quan, người có thẩm quyền quy định tại </w:t>
      </w:r>
      <w:bookmarkStart w:id="5" w:name="tc_18"/>
      <w:r w:rsidRPr="00510B10">
        <w:rPr>
          <w:i/>
          <w:color w:val="000000"/>
          <w:sz w:val="28"/>
          <w:szCs w:val="28"/>
          <w:u w:val="single"/>
        </w:rPr>
        <w:t>khoản 2 Điều 11 Nghị định này</w:t>
      </w:r>
      <w:bookmarkEnd w:id="5"/>
      <w:r w:rsidRPr="00510B10">
        <w:rPr>
          <w:i/>
          <w:color w:val="000000"/>
          <w:sz w:val="28"/>
          <w:szCs w:val="28"/>
          <w:u w:val="single"/>
        </w:rPr>
        <w:t> quyết định tiêu chuẩn, định mức diện tích công trình sự nghiệp khác</w:t>
      </w:r>
      <w:r w:rsidRPr="00510B10">
        <w:rPr>
          <w:i/>
          <w:color w:val="000000"/>
          <w:sz w:val="28"/>
          <w:szCs w:val="28"/>
        </w:rPr>
        <w:t xml:space="preserve"> của các đơn vị quy định tại </w:t>
      </w:r>
      <w:bookmarkStart w:id="6" w:name="tc_19"/>
      <w:r w:rsidRPr="00510B10">
        <w:rPr>
          <w:i/>
          <w:color w:val="000000"/>
          <w:sz w:val="28"/>
          <w:szCs w:val="28"/>
        </w:rPr>
        <w:t>khoản 2 Điều 11 Nghị định này</w:t>
      </w:r>
      <w:bookmarkEnd w:id="6"/>
      <w:r w:rsidRPr="00510B10">
        <w:rPr>
          <w:i/>
          <w:color w:val="000000"/>
          <w:sz w:val="28"/>
          <w:szCs w:val="28"/>
        </w:rPr>
        <w:t>.”</w:t>
      </w:r>
    </w:p>
    <w:p w:rsidR="00135BDB" w:rsidRPr="00510B10" w:rsidRDefault="00135BDB" w:rsidP="00135BDB">
      <w:pPr>
        <w:pStyle w:val="NormalWeb"/>
        <w:shd w:val="clear" w:color="auto" w:fill="FFFFFF"/>
        <w:spacing w:before="120" w:beforeAutospacing="0" w:after="0" w:afterAutospacing="0" w:line="340" w:lineRule="exact"/>
        <w:ind w:firstLine="709"/>
        <w:jc w:val="both"/>
        <w:rPr>
          <w:bCs/>
          <w:color w:val="000000"/>
          <w:sz w:val="28"/>
          <w:szCs w:val="28"/>
          <w:shd w:val="clear" w:color="auto" w:fill="FFFFFF"/>
        </w:rPr>
      </w:pPr>
      <w:r w:rsidRPr="00510B10">
        <w:rPr>
          <w:color w:val="000000"/>
          <w:sz w:val="28"/>
          <w:szCs w:val="28"/>
        </w:rPr>
        <w:t xml:space="preserve">Theo quy định nêu trên, UBND tỉnh không thực hiện phân cấp thẩm quyền ban hành </w:t>
      </w:r>
      <w:r w:rsidRPr="00510B10">
        <w:rPr>
          <w:bCs/>
          <w:color w:val="000000"/>
          <w:sz w:val="28"/>
          <w:szCs w:val="28"/>
          <w:shd w:val="clear" w:color="auto" w:fill="FFFFFF"/>
        </w:rPr>
        <w:t xml:space="preserve">tiêu chuẩn, định mức sử dụng công trình sự nghiệp của đơn vị sự nghiệp công lập mà sử dụng thẩm quyền được quy định tại </w:t>
      </w:r>
      <w:r w:rsidRPr="00510B10">
        <w:rPr>
          <w:color w:val="000000"/>
          <w:sz w:val="28"/>
          <w:szCs w:val="28"/>
        </w:rPr>
        <w:t xml:space="preserve">khoản 2 Điều 11 </w:t>
      </w:r>
      <w:r w:rsidRPr="00510B10">
        <w:rPr>
          <w:bCs/>
          <w:color w:val="000000"/>
          <w:sz w:val="28"/>
          <w:szCs w:val="28"/>
          <w:shd w:val="clear" w:color="auto" w:fill="FFFFFF"/>
        </w:rPr>
        <w:lastRenderedPageBreak/>
        <w:t>Nghị định số 155/2025/NĐ-CP để triển khai thực hiện. Do đó, nội dung quy định tại khoản 2 Điều 2 Quyết định số 38/2025/QĐ-UBND không phù hợp với quy định tại Nghị định số 155/2025/NĐ-CP.</w:t>
      </w:r>
    </w:p>
    <w:p w:rsidR="00135BDB" w:rsidRPr="00510B10" w:rsidRDefault="00135BDB" w:rsidP="00135BDB">
      <w:pPr>
        <w:spacing w:before="120" w:line="340" w:lineRule="exact"/>
        <w:ind w:firstLine="709"/>
        <w:jc w:val="both"/>
        <w:rPr>
          <w:rStyle w:val="Strong"/>
          <w:rFonts w:ascii="Times New Roman" w:hAnsi="Times New Roman"/>
          <w:b w:val="0"/>
          <w:sz w:val="28"/>
          <w:szCs w:val="28"/>
          <w:shd w:val="clear" w:color="auto" w:fill="FFFFFF"/>
        </w:rPr>
      </w:pPr>
      <w:r w:rsidRPr="00510B10">
        <w:rPr>
          <w:rFonts w:ascii="Times New Roman" w:hAnsi="Times New Roman"/>
          <w:bCs/>
          <w:sz w:val="28"/>
          <w:szCs w:val="28"/>
          <w:lang w:val="es-MX"/>
        </w:rPr>
        <w:t>- Việc UBND tỉnh</w:t>
      </w:r>
      <w:r w:rsidRPr="00510B10">
        <w:rPr>
          <w:rFonts w:ascii="Times New Roman" w:hAnsi="Times New Roman"/>
          <w:sz w:val="28"/>
          <w:szCs w:val="28"/>
        </w:rPr>
        <w:t xml:space="preserve"> phân cấp thẩm quyền quyết định tiêu chuẩn, định mức diện tích chuyên dùng phù hợp xu hướng phát triển, đáp ứng yêu</w:t>
      </w:r>
      <w:r w:rsidRPr="00510B10">
        <w:rPr>
          <w:rFonts w:ascii="Times New Roman" w:hAnsi="Times New Roman"/>
          <w:bCs/>
          <w:sz w:val="28"/>
          <w:szCs w:val="28"/>
        </w:rPr>
        <w:t xml:space="preserve"> cầu cải</w:t>
      </w:r>
      <w:r w:rsidRPr="00510B10">
        <w:rPr>
          <w:rStyle w:val="Strong"/>
          <w:rFonts w:ascii="Times New Roman" w:hAnsi="Times New Roman"/>
          <w:b w:val="0"/>
          <w:sz w:val="28"/>
          <w:szCs w:val="28"/>
          <w:shd w:val="clear" w:color="auto" w:fill="FFFFFF"/>
        </w:rPr>
        <w:t xml:space="preserve"> cách hành chính, nhằm nâng cao hiệu lực, hiệu quả hoạt động của bộ máy hành chính nhà nước, nâng cao nhận thức, trách nhiệm của cơ quan chuyên môn. Thực hiện đúng theo quy định của Luật Tổ chức chính quyền địa phương, Nghị quyết số 04/NQ-CP ngày 10/01/2022 của Chính phủ về đẩy mạnh phân cấp, phân quyền trong quản lý nhà nước, Quyết định số 608/QĐ-TTg ngày 15/3/2025 của Thủ tướng Chính phủ ban hành kế hoạch triển khai các nhiệm vụ, giải pháp về đẩy mạnh phân quyền, phân cấp theo quy định tại luật tổ chức chính phủ và luật tổ chức chính quyền địa phương, Kế hoạch số 106/KH-UBND ngày 18/04/2025 của UBND tỉnh về việc triển khai các nhiệm vụ, giải pháp về đẩy mạnh phân cấp, phân quyền theo quy định của Luật Tổ chức chính quyền địa phương.</w:t>
      </w:r>
    </w:p>
    <w:p w:rsidR="00135BDB" w:rsidRPr="00510B10" w:rsidRDefault="00135BDB" w:rsidP="00135BDB">
      <w:pPr>
        <w:spacing w:before="120" w:line="340" w:lineRule="exact"/>
        <w:ind w:firstLine="709"/>
        <w:jc w:val="both"/>
        <w:rPr>
          <w:rFonts w:ascii="Times New Roman" w:hAnsi="Times New Roman"/>
          <w:sz w:val="28"/>
          <w:szCs w:val="28"/>
        </w:rPr>
      </w:pPr>
      <w:r w:rsidRPr="00510B10">
        <w:rPr>
          <w:rFonts w:ascii="Times New Roman" w:hAnsi="Times New Roman"/>
          <w:sz w:val="28"/>
          <w:szCs w:val="28"/>
        </w:rPr>
        <w:t>- Từ căn cứ nêu trên, việc xây dựng quyết định của UBND tỉnh phân cấp thẩm quyền quyết định tiêu chuẩn, định mức diện tích chuyên dùng của các cơ quan, tổ chức, đơn vị thuộc phạm vi quản lý của UBND tỉnh Sơn La thay thế Quyết định số 38</w:t>
      </w:r>
      <w:r w:rsidRPr="00510B10">
        <w:rPr>
          <w:rFonts w:ascii="Times New Roman" w:hAnsi="Times New Roman"/>
          <w:bCs/>
          <w:sz w:val="28"/>
          <w:szCs w:val="28"/>
          <w:shd w:val="clear" w:color="auto" w:fill="FFFFFF"/>
        </w:rPr>
        <w:t xml:space="preserve">/2025/QĐ-UBND của UBND tỉnh </w:t>
      </w:r>
      <w:r w:rsidRPr="00510B10">
        <w:rPr>
          <w:rFonts w:ascii="Times New Roman" w:hAnsi="Times New Roman"/>
          <w:sz w:val="28"/>
          <w:szCs w:val="28"/>
        </w:rPr>
        <w:t>là cần thiết và phù hợp với quy định hiện hành.</w:t>
      </w:r>
    </w:p>
    <w:p w:rsidR="004221CA" w:rsidRPr="001C24A5" w:rsidRDefault="004221CA" w:rsidP="00985C87">
      <w:pPr>
        <w:spacing w:before="120" w:line="340" w:lineRule="exact"/>
        <w:ind w:firstLine="720"/>
        <w:rPr>
          <w:rFonts w:ascii="Times New Roman" w:hAnsi="Times New Roman" w:cs="Times New Roman"/>
          <w:b/>
          <w:bCs/>
          <w:sz w:val="28"/>
          <w:szCs w:val="28"/>
        </w:rPr>
      </w:pPr>
      <w:r w:rsidRPr="001C24A5">
        <w:rPr>
          <w:rFonts w:ascii="Times New Roman" w:hAnsi="Times New Roman" w:cs="Times New Roman"/>
          <w:b/>
          <w:bCs/>
          <w:sz w:val="28"/>
          <w:szCs w:val="28"/>
        </w:rPr>
        <w:t>2.</w:t>
      </w:r>
      <w:r w:rsidRPr="001C24A5">
        <w:rPr>
          <w:rFonts w:ascii="Times New Roman" w:hAnsi="Times New Roman" w:cs="Times New Roman"/>
          <w:sz w:val="28"/>
          <w:szCs w:val="28"/>
        </w:rPr>
        <w:t xml:space="preserve"> Mục đích, yêu cầu đánh giá</w:t>
      </w:r>
    </w:p>
    <w:p w:rsidR="00774E1C" w:rsidRPr="00871127" w:rsidRDefault="00B01C7E" w:rsidP="00985C87">
      <w:pPr>
        <w:spacing w:before="120" w:line="340" w:lineRule="exact"/>
        <w:ind w:firstLine="720"/>
        <w:jc w:val="both"/>
        <w:rPr>
          <w:rFonts w:ascii="Times New Roman" w:hAnsi="Times New Roman" w:cs="Times New Roman"/>
          <w:sz w:val="28"/>
          <w:szCs w:val="28"/>
          <w:lang w:val="en-US"/>
        </w:rPr>
      </w:pPr>
      <w:r w:rsidRPr="004B706E">
        <w:rPr>
          <w:rFonts w:ascii="Times New Roman" w:hAnsi="Times New Roman" w:cs="Times New Roman"/>
          <w:sz w:val="28"/>
          <w:szCs w:val="28"/>
        </w:rPr>
        <w:t xml:space="preserve">Đánh giá phân cấp trong dự thảo </w:t>
      </w:r>
      <w:r w:rsidR="00917385">
        <w:rPr>
          <w:rFonts w:ascii="Times New Roman" w:hAnsi="Times New Roman" w:cs="Times New Roman"/>
          <w:sz w:val="28"/>
          <w:szCs w:val="28"/>
          <w:lang w:val="en-US"/>
        </w:rPr>
        <w:t xml:space="preserve">quyết định </w:t>
      </w:r>
      <w:r w:rsidR="004B706E" w:rsidRPr="004B706E">
        <w:rPr>
          <w:rFonts w:ascii="Times New Roman" w:hAnsi="Times New Roman" w:cs="Times New Roman"/>
          <w:sz w:val="28"/>
          <w:szCs w:val="28"/>
        </w:rPr>
        <w:t>b</w:t>
      </w:r>
      <w:r w:rsidRPr="004B706E">
        <w:rPr>
          <w:rFonts w:ascii="Times New Roman" w:hAnsi="Times New Roman" w:cs="Times New Roman"/>
          <w:sz w:val="28"/>
          <w:szCs w:val="28"/>
        </w:rPr>
        <w:t xml:space="preserve">ảo đảm việc thực hiện chủ trương phân cấp; giải quyết vấn đề phát sinh từ </w:t>
      </w:r>
      <w:r w:rsidR="00917385">
        <w:rPr>
          <w:rFonts w:ascii="Times New Roman" w:hAnsi="Times New Roman" w:cs="Times New Roman"/>
          <w:sz w:val="28"/>
          <w:szCs w:val="28"/>
          <w:lang w:val="en-US"/>
        </w:rPr>
        <w:t xml:space="preserve">căn cứ </w:t>
      </w:r>
      <w:r w:rsidRPr="004B706E">
        <w:rPr>
          <w:rFonts w:ascii="Times New Roman" w:hAnsi="Times New Roman" w:cs="Times New Roman"/>
          <w:sz w:val="28"/>
          <w:szCs w:val="28"/>
        </w:rPr>
        <w:t>thực tiễn</w:t>
      </w:r>
      <w:r w:rsidR="00871127">
        <w:rPr>
          <w:rFonts w:ascii="Times New Roman" w:hAnsi="Times New Roman" w:cs="Times New Roman"/>
          <w:sz w:val="28"/>
          <w:szCs w:val="28"/>
          <w:lang w:val="en-US"/>
        </w:rPr>
        <w:t xml:space="preserve"> như đã nêu ở mục 1, </w:t>
      </w:r>
      <w:r w:rsidR="00871127" w:rsidRPr="008740F9">
        <w:rPr>
          <w:rFonts w:ascii="Times New Roman" w:hAnsi="Times New Roman"/>
          <w:bCs/>
          <w:sz w:val="28"/>
          <w:szCs w:val="28"/>
        </w:rPr>
        <w:t>nhằm hoàn thiện cơ sở pháp lý, bãi bỏ các quy định không còn phù hợp với quy định hiện hành</w:t>
      </w:r>
      <w:r w:rsidR="00871127">
        <w:rPr>
          <w:rFonts w:ascii="Times New Roman" w:hAnsi="Times New Roman"/>
          <w:bCs/>
          <w:sz w:val="28"/>
          <w:szCs w:val="28"/>
          <w:lang w:val="en-US"/>
        </w:rPr>
        <w:t>.</w:t>
      </w:r>
    </w:p>
    <w:p w:rsidR="004221CA" w:rsidRPr="004B706E" w:rsidRDefault="004221CA" w:rsidP="00985C87">
      <w:pPr>
        <w:spacing w:before="120" w:line="340" w:lineRule="exact"/>
        <w:ind w:firstLine="720"/>
        <w:jc w:val="both"/>
        <w:rPr>
          <w:rFonts w:ascii="Times New Roman" w:hAnsi="Times New Roman" w:cs="Times New Roman"/>
          <w:b/>
          <w:bCs/>
          <w:sz w:val="28"/>
          <w:szCs w:val="28"/>
        </w:rPr>
      </w:pPr>
      <w:r w:rsidRPr="004B706E">
        <w:rPr>
          <w:rFonts w:ascii="Times New Roman" w:hAnsi="Times New Roman" w:cs="Times New Roman"/>
          <w:b/>
          <w:bCs/>
          <w:sz w:val="28"/>
          <w:szCs w:val="28"/>
        </w:rPr>
        <w:t>II. KẾT QUẢ ĐÁNH GIÁ</w:t>
      </w:r>
    </w:p>
    <w:p w:rsidR="00740B97" w:rsidRPr="009E13A0" w:rsidRDefault="00740B97" w:rsidP="00740B97">
      <w:pPr>
        <w:pStyle w:val="ListParagraph"/>
        <w:numPr>
          <w:ilvl w:val="0"/>
          <w:numId w:val="1"/>
        </w:numPr>
        <w:spacing w:before="120" w:line="340" w:lineRule="exact"/>
        <w:jc w:val="both"/>
        <w:rPr>
          <w:rFonts w:ascii="Times New Roman" w:hAnsi="Times New Roman" w:cs="Times New Roman"/>
          <w:b/>
          <w:sz w:val="28"/>
          <w:szCs w:val="28"/>
        </w:rPr>
      </w:pPr>
      <w:r w:rsidRPr="009E13A0">
        <w:rPr>
          <w:rFonts w:ascii="Times New Roman" w:hAnsi="Times New Roman" w:cs="Times New Roman"/>
          <w:b/>
          <w:sz w:val="28"/>
          <w:szCs w:val="28"/>
        </w:rPr>
        <w:t>Sự cần thiết phân cấp</w:t>
      </w:r>
    </w:p>
    <w:p w:rsidR="00316B5E" w:rsidRPr="00316B5E" w:rsidRDefault="00C24C77" w:rsidP="00316B5E">
      <w:pPr>
        <w:spacing w:before="120" w:line="340" w:lineRule="exact"/>
        <w:ind w:firstLine="720"/>
        <w:jc w:val="both"/>
        <w:rPr>
          <w:rFonts w:ascii="Times New Roman" w:hAnsi="Times New Roman"/>
          <w:bCs/>
          <w:spacing w:val="-4"/>
          <w:sz w:val="28"/>
          <w:szCs w:val="28"/>
          <w:shd w:val="clear" w:color="auto" w:fill="FFFFFF"/>
          <w:lang w:val="en-US"/>
        </w:rPr>
      </w:pPr>
      <w:r w:rsidRPr="00DA6D01">
        <w:rPr>
          <w:rFonts w:ascii="Times New Roman" w:hAnsi="Times New Roman" w:cs="Times New Roman"/>
          <w:sz w:val="28"/>
          <w:szCs w:val="28"/>
          <w:lang w:val="en-US"/>
        </w:rPr>
        <w:t xml:space="preserve">Thực hiện quy </w:t>
      </w:r>
      <w:r w:rsidR="00135BDB" w:rsidRPr="00510B10">
        <w:rPr>
          <w:rFonts w:ascii="Times New Roman" w:hAnsi="Times New Roman"/>
          <w:sz w:val="28"/>
          <w:szCs w:val="28"/>
        </w:rPr>
        <w:t>phân cấp thẩm quyền quyết định tiêu chuẩn, định mức diện tích chuyên dùng của các cơ quan, tổ chức, đơn vị thuộc phạm vi quản lý của UBND tỉnh Sơn La</w:t>
      </w:r>
      <w:r w:rsidR="004441D1">
        <w:rPr>
          <w:rFonts w:ascii="Times New Roman" w:hAnsi="Times New Roman"/>
          <w:sz w:val="28"/>
          <w:szCs w:val="28"/>
          <w:lang w:val="en-US"/>
        </w:rPr>
        <w:t xml:space="preserve"> </w:t>
      </w:r>
      <w:r w:rsidR="00917385">
        <w:rPr>
          <w:rFonts w:ascii="Times New Roman" w:hAnsi="Times New Roman"/>
          <w:sz w:val="28"/>
          <w:szCs w:val="28"/>
          <w:lang w:val="en-US"/>
        </w:rPr>
        <w:t>cho</w:t>
      </w:r>
      <w:r w:rsidR="005675AA">
        <w:rPr>
          <w:rFonts w:ascii="Times New Roman" w:hAnsi="Times New Roman"/>
          <w:sz w:val="28"/>
          <w:szCs w:val="28"/>
          <w:lang w:val="en-US"/>
        </w:rPr>
        <w:t xml:space="preserve"> </w:t>
      </w:r>
      <w:r w:rsidR="004441D1">
        <w:rPr>
          <w:rFonts w:ascii="Times New Roman" w:hAnsi="Times New Roman"/>
          <w:sz w:val="28"/>
          <w:szCs w:val="28"/>
          <w:lang w:val="en-US"/>
        </w:rPr>
        <w:t>các cơ quan, tổ chức, đơn vị, UBND các xã, phường</w:t>
      </w:r>
      <w:r w:rsidR="00917385">
        <w:rPr>
          <w:rFonts w:ascii="Times New Roman" w:hAnsi="Times New Roman"/>
          <w:sz w:val="28"/>
          <w:szCs w:val="28"/>
          <w:lang w:val="en-US"/>
        </w:rPr>
        <w:t xml:space="preserve"> </w:t>
      </w:r>
      <w:r w:rsidR="003D2F65">
        <w:rPr>
          <w:rFonts w:ascii="Times New Roman" w:hAnsi="Times New Roman"/>
          <w:sz w:val="28"/>
          <w:szCs w:val="28"/>
          <w:lang w:val="en-US"/>
        </w:rPr>
        <w:t xml:space="preserve">là cần thiết, rút ngắn thời gian thực hiện, </w:t>
      </w:r>
      <w:r w:rsidR="00917385" w:rsidRPr="001E5364">
        <w:rPr>
          <w:rFonts w:ascii="Times New Roman" w:hAnsi="Times New Roman"/>
          <w:spacing w:val="-4"/>
          <w:sz w:val="28"/>
          <w:szCs w:val="28"/>
        </w:rPr>
        <w:t>phù hợp xu hướng phát triển, đáp ứng yêu</w:t>
      </w:r>
      <w:r w:rsidR="00917385" w:rsidRPr="001E5364">
        <w:rPr>
          <w:rFonts w:ascii="Times New Roman" w:hAnsi="Times New Roman"/>
          <w:bCs/>
          <w:spacing w:val="-4"/>
          <w:sz w:val="28"/>
          <w:szCs w:val="28"/>
        </w:rPr>
        <w:t xml:space="preserve"> cầu cải</w:t>
      </w:r>
      <w:r w:rsidR="00917385" w:rsidRPr="001E5364">
        <w:rPr>
          <w:rStyle w:val="Strong"/>
          <w:rFonts w:ascii="Times New Roman" w:hAnsi="Times New Roman"/>
          <w:b w:val="0"/>
          <w:spacing w:val="-4"/>
          <w:sz w:val="28"/>
          <w:szCs w:val="28"/>
          <w:shd w:val="clear" w:color="auto" w:fill="FFFFFF"/>
        </w:rPr>
        <w:t xml:space="preserve"> cách hành chính, nhằm nâng cao hiệu lực, hiệu quả hoạt động của bộ máy </w:t>
      </w:r>
      <w:r w:rsidR="00917385" w:rsidRPr="00A54B07">
        <w:rPr>
          <w:rStyle w:val="Strong"/>
          <w:rFonts w:ascii="Times New Roman" w:hAnsi="Times New Roman"/>
          <w:b w:val="0"/>
          <w:color w:val="auto"/>
          <w:spacing w:val="-4"/>
          <w:sz w:val="28"/>
          <w:szCs w:val="28"/>
          <w:shd w:val="clear" w:color="auto" w:fill="FFFFFF"/>
        </w:rPr>
        <w:t xml:space="preserve">hành chính nhà nước, nâng cao nhận thức, trách nhiệm của cơ quan chuyên môn, tạo hành lang pháp lý, góp phần quản lý chặt chẽ </w:t>
      </w:r>
      <w:r w:rsidR="00A54B07" w:rsidRPr="00A54B07">
        <w:rPr>
          <w:rStyle w:val="Strong"/>
          <w:rFonts w:ascii="Times New Roman" w:hAnsi="Times New Roman"/>
          <w:b w:val="0"/>
          <w:color w:val="auto"/>
          <w:spacing w:val="-4"/>
          <w:sz w:val="28"/>
          <w:szCs w:val="28"/>
          <w:shd w:val="clear" w:color="auto" w:fill="FFFFFF"/>
          <w:lang w:val="en-US"/>
        </w:rPr>
        <w:t>máy móc, thiết bị</w:t>
      </w:r>
      <w:r w:rsidR="00917385" w:rsidRPr="00A54B07">
        <w:rPr>
          <w:rStyle w:val="Strong"/>
          <w:rFonts w:ascii="Times New Roman" w:hAnsi="Times New Roman"/>
          <w:b w:val="0"/>
          <w:color w:val="auto"/>
          <w:spacing w:val="-4"/>
          <w:sz w:val="28"/>
          <w:szCs w:val="28"/>
          <w:shd w:val="clear" w:color="auto" w:fill="FFFFFF"/>
        </w:rPr>
        <w:t xml:space="preserve"> trên địa bàn. Thực hiện đúng theo quy định của Luật Tổ chức chính quyền địa phương, </w:t>
      </w:r>
      <w:r w:rsidR="00B6613B" w:rsidRPr="00A54B07">
        <w:rPr>
          <w:rStyle w:val="Strong"/>
          <w:rFonts w:ascii="Times New Roman" w:hAnsi="Times New Roman"/>
          <w:b w:val="0"/>
          <w:color w:val="auto"/>
          <w:spacing w:val="-4"/>
          <w:sz w:val="28"/>
          <w:szCs w:val="28"/>
          <w:shd w:val="clear" w:color="auto" w:fill="FFFFFF"/>
        </w:rPr>
        <w:t>Nghị quyết số 04/NQ-CP</w:t>
      </w:r>
      <w:r w:rsidR="00B6613B" w:rsidRPr="00B6613B">
        <w:rPr>
          <w:rStyle w:val="Strong"/>
          <w:rFonts w:ascii="Times New Roman" w:hAnsi="Times New Roman"/>
          <w:b w:val="0"/>
          <w:spacing w:val="-4"/>
          <w:sz w:val="28"/>
          <w:szCs w:val="28"/>
          <w:shd w:val="clear" w:color="auto" w:fill="FFFFFF"/>
        </w:rPr>
        <w:t xml:space="preserve">, </w:t>
      </w:r>
      <w:r w:rsidR="00917385" w:rsidRPr="001E5364">
        <w:rPr>
          <w:rStyle w:val="Strong"/>
          <w:rFonts w:ascii="Times New Roman" w:hAnsi="Times New Roman"/>
          <w:b w:val="0"/>
          <w:spacing w:val="-4"/>
          <w:sz w:val="28"/>
          <w:szCs w:val="28"/>
          <w:shd w:val="clear" w:color="auto" w:fill="FFFFFF"/>
        </w:rPr>
        <w:t>Quyết định số 608/QĐ-TTg, Kế hoạch số 106/KH-UBND ngày 18/04/2025</w:t>
      </w:r>
      <w:r w:rsidR="00917385">
        <w:rPr>
          <w:rStyle w:val="Strong"/>
          <w:rFonts w:ascii="Times New Roman" w:hAnsi="Times New Roman"/>
          <w:b w:val="0"/>
          <w:spacing w:val="-4"/>
          <w:sz w:val="28"/>
          <w:szCs w:val="28"/>
          <w:shd w:val="clear" w:color="auto" w:fill="FFFFFF"/>
          <w:lang w:val="en-US"/>
        </w:rPr>
        <w:t>.</w:t>
      </w:r>
    </w:p>
    <w:p w:rsidR="00153FF9" w:rsidRPr="009E13A0" w:rsidRDefault="00153FF9" w:rsidP="00985C87">
      <w:pPr>
        <w:spacing w:before="120" w:line="340" w:lineRule="exact"/>
        <w:ind w:firstLine="720"/>
        <w:jc w:val="both"/>
        <w:rPr>
          <w:rFonts w:ascii="Times New Roman" w:hAnsi="Times New Roman" w:cs="Times New Roman"/>
          <w:b/>
          <w:bCs/>
          <w:sz w:val="28"/>
          <w:szCs w:val="28"/>
          <w:lang w:val="en-US"/>
        </w:rPr>
      </w:pPr>
      <w:r w:rsidRPr="009E13A0">
        <w:rPr>
          <w:rFonts w:ascii="Times New Roman" w:hAnsi="Times New Roman" w:cs="Times New Roman"/>
          <w:b/>
          <w:bCs/>
          <w:sz w:val="28"/>
          <w:szCs w:val="28"/>
          <w:lang w:val="en-US"/>
        </w:rPr>
        <w:t>2. Thẩm quyền phân cấp</w:t>
      </w:r>
    </w:p>
    <w:p w:rsidR="00293C11" w:rsidRDefault="00293C11" w:rsidP="00985C87">
      <w:pPr>
        <w:spacing w:before="120" w:line="340" w:lineRule="exact"/>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Thẩm </w:t>
      </w:r>
      <w:r w:rsidRPr="007A4DF0">
        <w:rPr>
          <w:rFonts w:ascii="Times New Roman" w:hAnsi="Times New Roman" w:cs="Times New Roman"/>
          <w:bCs/>
          <w:sz w:val="28"/>
          <w:szCs w:val="28"/>
          <w:lang w:val="en-US"/>
        </w:rPr>
        <w:t xml:space="preserve">quyền phân cấp là Ủy ban nhân dân tỉnh </w:t>
      </w:r>
      <w:r w:rsidR="00153FF9" w:rsidRPr="007A4DF0">
        <w:rPr>
          <w:rFonts w:ascii="Times New Roman" w:hAnsi="Times New Roman" w:cs="Times New Roman"/>
          <w:bCs/>
          <w:sz w:val="28"/>
          <w:szCs w:val="28"/>
          <w:lang w:val="en-US"/>
        </w:rPr>
        <w:t xml:space="preserve">theo quy định tại </w:t>
      </w:r>
      <w:r w:rsidR="007A4DF0" w:rsidRPr="007A4DF0">
        <w:rPr>
          <w:rFonts w:ascii="Times New Roman" w:hAnsi="Times New Roman" w:cs="Times New Roman"/>
          <w:sz w:val="28"/>
          <w:szCs w:val="28"/>
          <w:lang w:val="nl-NL"/>
        </w:rPr>
        <w:t xml:space="preserve">điểm đ </w:t>
      </w:r>
      <w:r w:rsidR="007A4DF0" w:rsidRPr="007A4DF0">
        <w:rPr>
          <w:rFonts w:ascii="Times New Roman" w:hAnsi="Times New Roman" w:cs="Times New Roman"/>
          <w:sz w:val="28"/>
          <w:szCs w:val="28"/>
          <w:lang w:val="nl-NL"/>
        </w:rPr>
        <w:lastRenderedPageBreak/>
        <w:t xml:space="preserve">khoản 2 Điều 7 và điểm đ khoản 2 Điều 11 </w:t>
      </w:r>
      <w:r w:rsidR="007A4DF0" w:rsidRPr="007A4DF0">
        <w:rPr>
          <w:rFonts w:ascii="Times New Roman" w:hAnsi="Times New Roman" w:cs="Times New Roman"/>
          <w:spacing w:val="-2"/>
          <w:sz w:val="28"/>
          <w:szCs w:val="28"/>
        </w:rPr>
        <w:t>Nghị định số 155/2025/NĐ-CP ngày 16/6/2025 của Chính phủ</w:t>
      </w:r>
      <w:r w:rsidR="00153FF9" w:rsidRPr="007A4DF0">
        <w:rPr>
          <w:rFonts w:ascii="Times New Roman" w:hAnsi="Times New Roman" w:cs="Times New Roman"/>
          <w:bCs/>
          <w:sz w:val="28"/>
          <w:szCs w:val="28"/>
          <w:lang w:val="en-US"/>
        </w:rPr>
        <w:t xml:space="preserve"> và</w:t>
      </w:r>
      <w:r w:rsidRPr="007A4DF0">
        <w:rPr>
          <w:rFonts w:ascii="Times New Roman" w:hAnsi="Times New Roman" w:cs="Times New Roman"/>
          <w:bCs/>
          <w:sz w:val="28"/>
          <w:szCs w:val="28"/>
          <w:lang w:val="en-US"/>
        </w:rPr>
        <w:t xml:space="preserve"> Điều 13</w:t>
      </w:r>
      <w:r>
        <w:rPr>
          <w:rFonts w:ascii="Times New Roman" w:hAnsi="Times New Roman" w:cs="Times New Roman"/>
          <w:bCs/>
          <w:sz w:val="28"/>
          <w:szCs w:val="28"/>
          <w:lang w:val="en-US"/>
        </w:rPr>
        <w:t xml:space="preserve"> của Luật Tổ chức chính quyền địa phương.</w:t>
      </w:r>
    </w:p>
    <w:p w:rsidR="00293C11" w:rsidRPr="009E13A0" w:rsidRDefault="00293C11" w:rsidP="00985C87">
      <w:pPr>
        <w:spacing w:before="120" w:line="340" w:lineRule="exact"/>
        <w:ind w:firstLine="720"/>
        <w:jc w:val="both"/>
        <w:rPr>
          <w:rFonts w:ascii="Times New Roman" w:hAnsi="Times New Roman" w:cs="Times New Roman"/>
          <w:b/>
          <w:bCs/>
          <w:sz w:val="28"/>
          <w:szCs w:val="28"/>
          <w:lang w:val="en-US"/>
        </w:rPr>
      </w:pPr>
      <w:r w:rsidRPr="009E13A0">
        <w:rPr>
          <w:rFonts w:ascii="Times New Roman" w:hAnsi="Times New Roman" w:cs="Times New Roman"/>
          <w:b/>
          <w:bCs/>
          <w:sz w:val="28"/>
          <w:szCs w:val="28"/>
          <w:lang w:val="en-US"/>
        </w:rPr>
        <w:t>3. Nội dung phân cấp</w:t>
      </w:r>
    </w:p>
    <w:p w:rsidR="00E56F3B" w:rsidRPr="00455DEF" w:rsidRDefault="00455DEF" w:rsidP="00E56F3B">
      <w:pPr>
        <w:pStyle w:val="NormalWeb"/>
        <w:shd w:val="clear" w:color="auto" w:fill="FFFFFF"/>
        <w:spacing w:before="120" w:beforeAutospacing="0" w:after="0" w:afterAutospacing="0" w:line="340" w:lineRule="exact"/>
        <w:ind w:firstLine="709"/>
        <w:jc w:val="both"/>
        <w:rPr>
          <w:spacing w:val="-4"/>
          <w:sz w:val="28"/>
          <w:szCs w:val="28"/>
        </w:rPr>
      </w:pPr>
      <w:r w:rsidRPr="00455DEF">
        <w:rPr>
          <w:color w:val="000000"/>
          <w:spacing w:val="-4"/>
          <w:sz w:val="28"/>
          <w:szCs w:val="28"/>
        </w:rPr>
        <w:t>Phân cấp thẩm quyền quyết định tiêu chuẩn, định mức diện tích chuyên dùng của các cơ quan, tổ chức, đơn vị thuộc phạm vi quản lý của UBND tỉnh Sơn La</w:t>
      </w:r>
      <w:r>
        <w:rPr>
          <w:color w:val="000000"/>
          <w:spacing w:val="-4"/>
          <w:sz w:val="28"/>
          <w:szCs w:val="28"/>
        </w:rPr>
        <w:t>:</w:t>
      </w:r>
    </w:p>
    <w:p w:rsidR="0002391A" w:rsidRDefault="0002391A" w:rsidP="0002391A">
      <w:pPr>
        <w:pStyle w:val="NormalWeb"/>
        <w:shd w:val="clear" w:color="auto" w:fill="FFFFFF"/>
        <w:spacing w:before="120" w:beforeAutospacing="0" w:after="0" w:afterAutospacing="0" w:line="380" w:lineRule="exact"/>
        <w:ind w:firstLine="709"/>
        <w:jc w:val="both"/>
        <w:rPr>
          <w:sz w:val="28"/>
          <w:szCs w:val="28"/>
        </w:rPr>
      </w:pPr>
      <w:r>
        <w:rPr>
          <w:sz w:val="28"/>
          <w:szCs w:val="28"/>
        </w:rPr>
        <w:t>a) Các đơn vị dự toán cấp I thuộc tỉnh quyết định đối với đơn vị dự toán thuộc phạm vi quản lý (trừ mục b</w:t>
      </w:r>
      <w:r w:rsidRPr="00E80CE2">
        <w:rPr>
          <w:sz w:val="28"/>
          <w:szCs w:val="28"/>
        </w:rPr>
        <w:t xml:space="preserve"> </w:t>
      </w:r>
      <w:r w:rsidR="007757AA">
        <w:rPr>
          <w:sz w:val="28"/>
          <w:szCs w:val="28"/>
        </w:rPr>
        <w:t>khoản</w:t>
      </w:r>
      <w:r w:rsidRPr="00E80CE2">
        <w:rPr>
          <w:sz w:val="28"/>
          <w:szCs w:val="28"/>
        </w:rPr>
        <w:t xml:space="preserve"> này</w:t>
      </w:r>
      <w:r>
        <w:rPr>
          <w:sz w:val="28"/>
          <w:szCs w:val="28"/>
        </w:rPr>
        <w:t>)</w:t>
      </w:r>
      <w:r w:rsidRPr="00E80CE2">
        <w:rPr>
          <w:sz w:val="28"/>
          <w:szCs w:val="28"/>
        </w:rPr>
        <w:t>.</w:t>
      </w:r>
    </w:p>
    <w:p w:rsidR="0002391A" w:rsidRDefault="007757AA" w:rsidP="0002391A">
      <w:pPr>
        <w:pStyle w:val="NormalWeb"/>
        <w:shd w:val="clear" w:color="auto" w:fill="FFFFFF"/>
        <w:spacing w:before="120" w:beforeAutospacing="0" w:after="0" w:afterAutospacing="0" w:line="380" w:lineRule="exact"/>
        <w:ind w:firstLine="709"/>
        <w:jc w:val="both"/>
        <w:rPr>
          <w:sz w:val="28"/>
          <w:szCs w:val="28"/>
        </w:rPr>
      </w:pPr>
      <w:r>
        <w:rPr>
          <w:color w:val="000000"/>
          <w:sz w:val="28"/>
          <w:szCs w:val="28"/>
        </w:rPr>
        <w:t>b)</w:t>
      </w:r>
      <w:r w:rsidR="0002391A">
        <w:rPr>
          <w:color w:val="000000"/>
          <w:sz w:val="28"/>
          <w:szCs w:val="28"/>
        </w:rPr>
        <w:t xml:space="preserve"> Sở Giáo dục và Đào tạo </w:t>
      </w:r>
      <w:r w:rsidR="0002391A">
        <w:rPr>
          <w:sz w:val="28"/>
          <w:szCs w:val="28"/>
        </w:rPr>
        <w:t>quyết định đối với các cơ sở giáo dục gồm: Cơ sở mầm non, cơ sở giáo dục phổ thông, trung tâm giáo dục thường xuyên, trường chuyên biệt trực thuộc.</w:t>
      </w:r>
    </w:p>
    <w:p w:rsidR="0002391A" w:rsidRDefault="007757AA" w:rsidP="0002391A">
      <w:pPr>
        <w:pStyle w:val="NormalWeb"/>
        <w:shd w:val="clear" w:color="auto" w:fill="FFFFFF"/>
        <w:spacing w:before="120" w:beforeAutospacing="0" w:after="0" w:afterAutospacing="0" w:line="380" w:lineRule="exact"/>
        <w:ind w:firstLine="709"/>
        <w:jc w:val="both"/>
        <w:rPr>
          <w:sz w:val="28"/>
          <w:szCs w:val="28"/>
        </w:rPr>
      </w:pPr>
      <w:r>
        <w:rPr>
          <w:sz w:val="28"/>
          <w:szCs w:val="28"/>
        </w:rPr>
        <w:t>c)</w:t>
      </w:r>
      <w:r w:rsidR="0002391A">
        <w:rPr>
          <w:sz w:val="28"/>
          <w:szCs w:val="28"/>
        </w:rPr>
        <w:t xml:space="preserve"> </w:t>
      </w:r>
      <w:r w:rsidR="0002391A">
        <w:rPr>
          <w:color w:val="000000"/>
          <w:sz w:val="28"/>
          <w:szCs w:val="28"/>
        </w:rPr>
        <w:t xml:space="preserve">UBND các xã, phường </w:t>
      </w:r>
      <w:r w:rsidR="0002391A">
        <w:rPr>
          <w:sz w:val="28"/>
          <w:szCs w:val="28"/>
        </w:rPr>
        <w:t>quyết định đối với các</w:t>
      </w:r>
      <w:r w:rsidR="0002391A" w:rsidRPr="00170B33">
        <w:rPr>
          <w:sz w:val="28"/>
          <w:szCs w:val="28"/>
        </w:rPr>
        <w:t xml:space="preserve"> </w:t>
      </w:r>
      <w:r w:rsidR="0002391A">
        <w:rPr>
          <w:sz w:val="28"/>
          <w:szCs w:val="28"/>
        </w:rPr>
        <w:t>cơ quan, tổ chức, đơn vị thuộc phạm vi quản lý (</w:t>
      </w:r>
      <w:r>
        <w:rPr>
          <w:sz w:val="28"/>
          <w:szCs w:val="28"/>
        </w:rPr>
        <w:t>trừ mục b</w:t>
      </w:r>
      <w:r w:rsidR="0002391A" w:rsidRPr="00E80CE2">
        <w:rPr>
          <w:sz w:val="28"/>
          <w:szCs w:val="28"/>
        </w:rPr>
        <w:t xml:space="preserve"> </w:t>
      </w:r>
      <w:r>
        <w:rPr>
          <w:sz w:val="28"/>
          <w:szCs w:val="28"/>
        </w:rPr>
        <w:t>khoản</w:t>
      </w:r>
      <w:r w:rsidR="0002391A" w:rsidRPr="00E80CE2">
        <w:rPr>
          <w:sz w:val="28"/>
          <w:szCs w:val="28"/>
        </w:rPr>
        <w:t xml:space="preserve"> này</w:t>
      </w:r>
      <w:r w:rsidR="0002391A">
        <w:rPr>
          <w:sz w:val="28"/>
          <w:szCs w:val="28"/>
        </w:rPr>
        <w:t>)</w:t>
      </w:r>
      <w:r w:rsidR="0002391A" w:rsidRPr="00E80CE2">
        <w:rPr>
          <w:sz w:val="28"/>
          <w:szCs w:val="28"/>
        </w:rPr>
        <w:t>.</w:t>
      </w:r>
    </w:p>
    <w:p w:rsidR="00321959" w:rsidRDefault="00625700" w:rsidP="00985C87">
      <w:pPr>
        <w:spacing w:before="120" w:line="340" w:lineRule="exact"/>
        <w:ind w:firstLine="720"/>
        <w:jc w:val="both"/>
        <w:rPr>
          <w:rFonts w:ascii="Times New Roman" w:hAnsi="Times New Roman" w:cs="Times New Roman"/>
          <w:sz w:val="28"/>
          <w:szCs w:val="28"/>
          <w:lang w:val="en-US"/>
        </w:rPr>
      </w:pPr>
      <w:r>
        <w:rPr>
          <w:rFonts w:ascii="Times New Roman" w:hAnsi="Times New Roman" w:cs="Times New Roman"/>
          <w:b/>
          <w:bCs/>
          <w:sz w:val="28"/>
          <w:szCs w:val="28"/>
          <w:lang w:val="en-US"/>
        </w:rPr>
        <w:t>4</w:t>
      </w:r>
      <w:r w:rsidR="00680846" w:rsidRPr="00680846">
        <w:rPr>
          <w:rFonts w:ascii="Times New Roman" w:hAnsi="Times New Roman" w:cs="Times New Roman"/>
          <w:b/>
          <w:bCs/>
          <w:sz w:val="28"/>
          <w:szCs w:val="28"/>
          <w:lang w:val="en-US"/>
        </w:rPr>
        <w:t xml:space="preserve">. </w:t>
      </w:r>
      <w:r w:rsidR="001D01E5" w:rsidRPr="009E13A0">
        <w:rPr>
          <w:rFonts w:ascii="Times New Roman" w:hAnsi="Times New Roman" w:cs="Times New Roman"/>
          <w:b/>
          <w:sz w:val="28"/>
          <w:szCs w:val="28"/>
          <w:lang w:val="en-US"/>
        </w:rPr>
        <w:t xml:space="preserve">Điều kiện bảo đảm thực hiện phân </w:t>
      </w:r>
      <w:r w:rsidRPr="009E13A0">
        <w:rPr>
          <w:rFonts w:ascii="Times New Roman" w:hAnsi="Times New Roman" w:cs="Times New Roman"/>
          <w:b/>
          <w:sz w:val="28"/>
          <w:szCs w:val="28"/>
          <w:lang w:val="en-US"/>
        </w:rPr>
        <w:t>cấp</w:t>
      </w:r>
    </w:p>
    <w:p w:rsidR="001043E5" w:rsidRDefault="001043E5" w:rsidP="00985C87">
      <w:pPr>
        <w:spacing w:before="120" w:line="340" w:lineRule="exact"/>
        <w:ind w:firstLine="720"/>
        <w:jc w:val="both"/>
        <w:rPr>
          <w:rFonts w:ascii="Times New Roman" w:hAnsi="Times New Roman" w:cs="Times New Roman"/>
          <w:bCs/>
          <w:sz w:val="28"/>
          <w:szCs w:val="28"/>
          <w:lang w:val="en-US"/>
        </w:rPr>
      </w:pPr>
      <w:r>
        <w:rPr>
          <w:rFonts w:ascii="Times New Roman" w:hAnsi="Times New Roman" w:cs="Times New Roman"/>
          <w:sz w:val="28"/>
          <w:szCs w:val="28"/>
          <w:lang w:val="en-US"/>
        </w:rPr>
        <w:t>- Qu</w:t>
      </w:r>
      <w:r w:rsidR="00F84159">
        <w:rPr>
          <w:rFonts w:ascii="Times New Roman" w:hAnsi="Times New Roman" w:cs="Times New Roman"/>
          <w:sz w:val="28"/>
          <w:szCs w:val="28"/>
          <w:lang w:val="en-US"/>
        </w:rPr>
        <w:t xml:space="preserve">y định phân </w:t>
      </w:r>
      <w:r w:rsidR="00F84159" w:rsidRPr="007757AA">
        <w:rPr>
          <w:rFonts w:ascii="Times New Roman" w:hAnsi="Times New Roman" w:cs="Times New Roman"/>
          <w:color w:val="auto"/>
          <w:sz w:val="28"/>
          <w:szCs w:val="28"/>
          <w:lang w:val="en-US" w:eastAsia="en-US"/>
        </w:rPr>
        <w:t>cấp được quy định</w:t>
      </w:r>
      <w:r w:rsidRPr="007757AA">
        <w:rPr>
          <w:rFonts w:ascii="Times New Roman" w:hAnsi="Times New Roman" w:cs="Times New Roman"/>
          <w:color w:val="auto"/>
          <w:sz w:val="28"/>
          <w:szCs w:val="28"/>
          <w:lang w:val="en-US" w:eastAsia="en-US"/>
        </w:rPr>
        <w:t xml:space="preserve"> tại </w:t>
      </w:r>
      <w:r w:rsidR="007757AA" w:rsidRPr="007757AA">
        <w:rPr>
          <w:rFonts w:ascii="Times New Roman" w:hAnsi="Times New Roman" w:cs="Times New Roman"/>
          <w:color w:val="auto"/>
          <w:sz w:val="28"/>
          <w:szCs w:val="28"/>
          <w:lang w:val="en-US" w:eastAsia="en-US"/>
        </w:rPr>
        <w:t>điểm đ khoản 2 Điều 7 và điểm đ khoản 2 Điều 11 Nghị định số 155/2025/NĐ-CP ngày 16/6/2025 của Chính phủ</w:t>
      </w:r>
      <w:r w:rsidRPr="007757AA">
        <w:rPr>
          <w:rFonts w:ascii="Times New Roman" w:hAnsi="Times New Roman" w:cs="Times New Roman"/>
          <w:color w:val="auto"/>
          <w:sz w:val="28"/>
          <w:szCs w:val="28"/>
          <w:lang w:val="en-US" w:eastAsia="en-US"/>
        </w:rPr>
        <w:t>. Nội dung</w:t>
      </w:r>
      <w:r>
        <w:rPr>
          <w:rFonts w:ascii="Times New Roman" w:hAnsi="Times New Roman" w:cs="Times New Roman"/>
          <w:bCs/>
          <w:sz w:val="28"/>
          <w:szCs w:val="28"/>
          <w:lang w:val="en-US"/>
        </w:rPr>
        <w:t xml:space="preserve"> phân cấp đúng quy định tại Luật Tổ chức chính quyền địa phương.</w:t>
      </w:r>
    </w:p>
    <w:p w:rsidR="001043E5" w:rsidRPr="00B658B6" w:rsidRDefault="001043E5" w:rsidP="00985C87">
      <w:pPr>
        <w:spacing w:before="120" w:line="340" w:lineRule="exact"/>
        <w:ind w:firstLine="720"/>
        <w:jc w:val="both"/>
        <w:rPr>
          <w:rFonts w:ascii="Times New Roman" w:hAnsi="Times New Roman" w:cs="Times New Roman"/>
          <w:bCs/>
          <w:spacing w:val="-4"/>
          <w:sz w:val="28"/>
          <w:szCs w:val="28"/>
          <w:lang w:val="en-US"/>
        </w:rPr>
      </w:pPr>
      <w:r w:rsidRPr="00B658B6">
        <w:rPr>
          <w:rFonts w:ascii="Times New Roman" w:hAnsi="Times New Roman" w:cs="Times New Roman"/>
          <w:bCs/>
          <w:spacing w:val="-4"/>
          <w:sz w:val="28"/>
          <w:szCs w:val="28"/>
          <w:lang w:val="en-US"/>
        </w:rPr>
        <w:t xml:space="preserve">- </w:t>
      </w:r>
      <w:r w:rsidR="00016138">
        <w:rPr>
          <w:rFonts w:ascii="Times New Roman" w:hAnsi="Times New Roman" w:cs="Times New Roman"/>
          <w:bCs/>
          <w:spacing w:val="-4"/>
          <w:sz w:val="28"/>
          <w:szCs w:val="28"/>
          <w:lang w:val="en-US"/>
        </w:rPr>
        <w:t>Các cơ quan, tổ chức, đơn vị</w:t>
      </w:r>
      <w:r w:rsidR="00461791">
        <w:rPr>
          <w:rFonts w:ascii="Times New Roman" w:hAnsi="Times New Roman" w:cs="Times New Roman"/>
          <w:bCs/>
          <w:spacing w:val="-4"/>
          <w:sz w:val="28"/>
          <w:szCs w:val="28"/>
          <w:lang w:val="en-US"/>
        </w:rPr>
        <w:t>,</w:t>
      </w:r>
      <w:r w:rsidR="00016138">
        <w:rPr>
          <w:rFonts w:ascii="Times New Roman" w:hAnsi="Times New Roman" w:cs="Times New Roman"/>
          <w:bCs/>
          <w:spacing w:val="-4"/>
          <w:sz w:val="28"/>
          <w:szCs w:val="28"/>
          <w:lang w:val="en-US"/>
        </w:rPr>
        <w:t xml:space="preserve"> UBND các xã, phường</w:t>
      </w:r>
      <w:r w:rsidRPr="00B658B6">
        <w:rPr>
          <w:rFonts w:ascii="Times New Roman" w:hAnsi="Times New Roman" w:cs="Times New Roman"/>
          <w:bCs/>
          <w:spacing w:val="-4"/>
          <w:sz w:val="28"/>
          <w:szCs w:val="28"/>
          <w:lang w:val="en-US"/>
        </w:rPr>
        <w:t xml:space="preserve"> </w:t>
      </w:r>
      <w:r w:rsidR="005D05AC" w:rsidRPr="00B658B6">
        <w:rPr>
          <w:rFonts w:ascii="Times New Roman" w:hAnsi="Times New Roman" w:cs="Times New Roman"/>
          <w:bCs/>
          <w:spacing w:val="-4"/>
          <w:sz w:val="28"/>
          <w:szCs w:val="28"/>
          <w:lang w:val="en-US"/>
        </w:rPr>
        <w:t xml:space="preserve">được phân cấp có đủ </w:t>
      </w:r>
      <w:r w:rsidR="00A448BF" w:rsidRPr="00B658B6">
        <w:rPr>
          <w:rFonts w:ascii="Times New Roman" w:hAnsi="Times New Roman" w:cs="Times New Roman"/>
          <w:bCs/>
          <w:spacing w:val="-4"/>
          <w:sz w:val="28"/>
          <w:szCs w:val="28"/>
          <w:lang w:val="en-US"/>
        </w:rPr>
        <w:t xml:space="preserve">năng lực và nguồn lực để thực hiện nhiệm vụ được giao. Việc phân cấp đảm bảo phù hợp </w:t>
      </w:r>
      <w:r w:rsidR="009A09B5" w:rsidRPr="00B658B6">
        <w:rPr>
          <w:rFonts w:ascii="Times New Roman" w:hAnsi="Times New Roman" w:cs="Times New Roman"/>
          <w:bCs/>
          <w:spacing w:val="-4"/>
          <w:sz w:val="28"/>
          <w:szCs w:val="28"/>
          <w:lang w:val="en-US"/>
        </w:rPr>
        <w:t>điều kiện</w:t>
      </w:r>
      <w:r w:rsidR="005D05AC" w:rsidRPr="00B658B6">
        <w:rPr>
          <w:rFonts w:ascii="Times New Roman" w:hAnsi="Times New Roman" w:cs="Times New Roman"/>
          <w:bCs/>
          <w:spacing w:val="-4"/>
          <w:sz w:val="28"/>
          <w:szCs w:val="28"/>
          <w:lang w:val="en-US"/>
        </w:rPr>
        <w:t>, trình độ quản lý</w:t>
      </w:r>
      <w:r w:rsidR="009A09B5" w:rsidRPr="00B658B6">
        <w:rPr>
          <w:rFonts w:ascii="Times New Roman" w:hAnsi="Times New Roman" w:cs="Times New Roman"/>
          <w:bCs/>
          <w:spacing w:val="-4"/>
          <w:sz w:val="28"/>
          <w:szCs w:val="28"/>
          <w:lang w:val="en-US"/>
        </w:rPr>
        <w:t xml:space="preserve">, khả năng </w:t>
      </w:r>
      <w:r w:rsidR="005D05AC" w:rsidRPr="00B658B6">
        <w:rPr>
          <w:rFonts w:ascii="Times New Roman" w:hAnsi="Times New Roman" w:cs="Times New Roman"/>
          <w:bCs/>
          <w:spacing w:val="-4"/>
          <w:sz w:val="28"/>
          <w:szCs w:val="28"/>
          <w:lang w:val="en-US"/>
        </w:rPr>
        <w:t>tiếp nhận</w:t>
      </w:r>
      <w:r w:rsidR="009A09B5" w:rsidRPr="00B658B6">
        <w:rPr>
          <w:rFonts w:ascii="Times New Roman" w:hAnsi="Times New Roman" w:cs="Times New Roman"/>
          <w:bCs/>
          <w:spacing w:val="-4"/>
          <w:sz w:val="28"/>
          <w:szCs w:val="28"/>
          <w:lang w:val="en-US"/>
        </w:rPr>
        <w:t xml:space="preserve"> </w:t>
      </w:r>
      <w:r w:rsidR="00AA05B2" w:rsidRPr="00B658B6">
        <w:rPr>
          <w:rFonts w:ascii="Times New Roman" w:hAnsi="Times New Roman" w:cs="Times New Roman"/>
          <w:bCs/>
          <w:spacing w:val="-4"/>
          <w:sz w:val="28"/>
          <w:szCs w:val="28"/>
          <w:lang w:val="en-US"/>
        </w:rPr>
        <w:t>nhiệm vụ được phân cấp</w:t>
      </w:r>
      <w:r w:rsidR="005D05AC" w:rsidRPr="00B658B6">
        <w:rPr>
          <w:rFonts w:ascii="Times New Roman" w:hAnsi="Times New Roman" w:cs="Times New Roman"/>
          <w:bCs/>
          <w:spacing w:val="-4"/>
          <w:sz w:val="28"/>
          <w:szCs w:val="28"/>
          <w:lang w:val="en-US"/>
        </w:rPr>
        <w:t>.</w:t>
      </w:r>
    </w:p>
    <w:p w:rsidR="003C10D1" w:rsidRPr="009E13A0" w:rsidRDefault="007B3B1A" w:rsidP="00985C87">
      <w:pPr>
        <w:spacing w:before="120" w:line="340" w:lineRule="exact"/>
        <w:ind w:firstLine="720"/>
        <w:jc w:val="both"/>
        <w:rPr>
          <w:rFonts w:ascii="Times New Roman" w:hAnsi="Times New Roman" w:cs="Times New Roman"/>
          <w:b/>
          <w:sz w:val="28"/>
          <w:szCs w:val="28"/>
          <w:lang w:val="en-US"/>
        </w:rPr>
      </w:pPr>
      <w:r w:rsidRPr="009E13A0">
        <w:rPr>
          <w:rFonts w:ascii="Times New Roman" w:hAnsi="Times New Roman" w:cs="Times New Roman"/>
          <w:b/>
          <w:sz w:val="28"/>
          <w:szCs w:val="28"/>
          <w:lang w:val="en-US"/>
        </w:rPr>
        <w:t xml:space="preserve">5. </w:t>
      </w:r>
      <w:r w:rsidRPr="009E13A0">
        <w:rPr>
          <w:rFonts w:ascii="Times New Roman" w:hAnsi="Times New Roman" w:cs="Times New Roman"/>
          <w:b/>
          <w:color w:val="auto"/>
          <w:sz w:val="28"/>
          <w:szCs w:val="28"/>
          <w:lang w:val="en-US"/>
        </w:rPr>
        <w:t>Việc thực hiện kiểm tra, giám sát sau khi phân cấp</w:t>
      </w:r>
    </w:p>
    <w:p w:rsidR="002F0997" w:rsidRPr="00E21EB6" w:rsidRDefault="002F0997" w:rsidP="00985C87">
      <w:pPr>
        <w:spacing w:before="120" w:line="340" w:lineRule="exac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Giao </w:t>
      </w:r>
      <w:r w:rsidR="00627663">
        <w:rPr>
          <w:rFonts w:ascii="Times New Roman" w:hAnsi="Times New Roman" w:cs="Times New Roman"/>
          <w:sz w:val="28"/>
          <w:szCs w:val="28"/>
          <w:lang w:val="en-US"/>
        </w:rPr>
        <w:t>c</w:t>
      </w:r>
      <w:r w:rsidR="00627663">
        <w:rPr>
          <w:rFonts w:ascii="Times New Roman" w:hAnsi="Times New Roman"/>
          <w:sz w:val="28"/>
          <w:szCs w:val="28"/>
          <w:lang w:val="af-ZA"/>
        </w:rPr>
        <w:t xml:space="preserve">ác cơ quan, tổ chức, đơn vị, UBND các xã, phường được phân cấp </w:t>
      </w:r>
      <w:r>
        <w:rPr>
          <w:rFonts w:ascii="Times New Roman" w:hAnsi="Times New Roman" w:cs="Times New Roman"/>
          <w:sz w:val="28"/>
          <w:szCs w:val="28"/>
          <w:lang w:val="en-US"/>
        </w:rPr>
        <w:t>tự kiểm tra việc tuân thủ</w:t>
      </w:r>
      <w:r w:rsidR="00B62733">
        <w:rPr>
          <w:rFonts w:ascii="Times New Roman" w:hAnsi="Times New Roman" w:cs="Times New Roman"/>
          <w:sz w:val="28"/>
          <w:szCs w:val="28"/>
          <w:lang w:val="en-US"/>
        </w:rPr>
        <w:t xml:space="preserve"> </w:t>
      </w:r>
      <w:r w:rsidR="00627663">
        <w:rPr>
          <w:rFonts w:ascii="Times New Roman" w:hAnsi="Times New Roman" w:cs="Times New Roman"/>
          <w:sz w:val="28"/>
          <w:szCs w:val="28"/>
          <w:lang w:val="en-US"/>
        </w:rPr>
        <w:t>nội dung</w:t>
      </w:r>
      <w:r w:rsidR="00B6273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phân cấp </w:t>
      </w:r>
      <w:r w:rsidR="00627663">
        <w:rPr>
          <w:rFonts w:ascii="Times New Roman" w:hAnsi="Times New Roman"/>
          <w:sz w:val="28"/>
          <w:szCs w:val="28"/>
          <w:lang w:val="af-ZA"/>
        </w:rPr>
        <w:t>theo quy định hiện hành.</w:t>
      </w:r>
    </w:p>
    <w:p w:rsidR="00827820" w:rsidRDefault="00B62733" w:rsidP="00985C87">
      <w:pPr>
        <w:spacing w:before="120" w:line="340" w:lineRule="exact"/>
        <w:ind w:firstLine="720"/>
        <w:jc w:val="both"/>
        <w:rPr>
          <w:rFonts w:ascii="Times New Roman" w:hAnsi="Times New Roman"/>
          <w:sz w:val="28"/>
          <w:szCs w:val="28"/>
          <w:lang w:val="en-US"/>
        </w:rPr>
      </w:pPr>
      <w:r>
        <w:rPr>
          <w:rFonts w:ascii="Times New Roman" w:hAnsi="Times New Roman" w:cs="Times New Roman"/>
          <w:sz w:val="28"/>
          <w:szCs w:val="28"/>
          <w:lang w:val="en-US"/>
        </w:rPr>
        <w:t xml:space="preserve">- </w:t>
      </w:r>
      <w:r w:rsidR="005A4C47">
        <w:rPr>
          <w:rFonts w:ascii="Times New Roman" w:hAnsi="Times New Roman" w:cs="Times New Roman"/>
          <w:sz w:val="28"/>
          <w:szCs w:val="28"/>
          <w:lang w:val="en-US"/>
        </w:rPr>
        <w:t xml:space="preserve">Giao </w:t>
      </w:r>
      <w:r w:rsidR="002F0997">
        <w:rPr>
          <w:rFonts w:ascii="Times New Roman" w:hAnsi="Times New Roman" w:cs="Times New Roman"/>
          <w:sz w:val="28"/>
          <w:szCs w:val="28"/>
          <w:lang w:val="en-US"/>
        </w:rPr>
        <w:t xml:space="preserve">Thanh tra tỉnh tổ chức </w:t>
      </w:r>
      <w:r w:rsidR="00827820">
        <w:rPr>
          <w:rFonts w:ascii="Times New Roman" w:hAnsi="Times New Roman" w:cs="Times New Roman"/>
          <w:sz w:val="28"/>
          <w:szCs w:val="28"/>
          <w:lang w:val="en-US"/>
        </w:rPr>
        <w:t xml:space="preserve">thanh tra, </w:t>
      </w:r>
      <w:r w:rsidR="002F0997">
        <w:rPr>
          <w:rFonts w:ascii="Times New Roman" w:hAnsi="Times New Roman" w:cs="Times New Roman"/>
          <w:sz w:val="28"/>
          <w:szCs w:val="28"/>
          <w:lang w:val="en-US"/>
        </w:rPr>
        <w:t xml:space="preserve">việc tuân thủ </w:t>
      </w:r>
      <w:r w:rsidR="00827820">
        <w:rPr>
          <w:rFonts w:ascii="Times New Roman" w:hAnsi="Times New Roman" w:cs="Times New Roman"/>
          <w:sz w:val="28"/>
          <w:szCs w:val="28"/>
          <w:lang w:val="en-US"/>
        </w:rPr>
        <w:t xml:space="preserve">quy định phân cấp </w:t>
      </w:r>
      <w:r w:rsidR="00827820" w:rsidRPr="00917385">
        <w:rPr>
          <w:rFonts w:ascii="Times New Roman" w:hAnsi="Times New Roman"/>
          <w:sz w:val="28"/>
          <w:szCs w:val="28"/>
        </w:rPr>
        <w:t>thẩm quyền quyết định</w:t>
      </w:r>
      <w:r w:rsidR="00827820">
        <w:rPr>
          <w:rFonts w:ascii="Times New Roman" w:hAnsi="Times New Roman"/>
          <w:sz w:val="28"/>
          <w:szCs w:val="28"/>
          <w:lang w:val="en-US"/>
        </w:rPr>
        <w:t>. Xử lý theo thẩm quyền, hoặc báo cáo cơ quan, người có thẩm quyền xử lý vi phạm theo quy định của pháp luật.</w:t>
      </w:r>
    </w:p>
    <w:p w:rsidR="00827820" w:rsidRPr="00E17743" w:rsidRDefault="00827820" w:rsidP="00985C87">
      <w:pPr>
        <w:spacing w:before="120" w:line="340" w:lineRule="exact"/>
        <w:ind w:firstLine="720"/>
        <w:jc w:val="both"/>
        <w:rPr>
          <w:rFonts w:ascii="Times New Roman" w:hAnsi="Times New Roman" w:cs="Times New Roman"/>
          <w:sz w:val="28"/>
          <w:szCs w:val="28"/>
          <w:lang w:val="en-US"/>
        </w:rPr>
      </w:pPr>
      <w:r w:rsidRPr="00E17743">
        <w:rPr>
          <w:rFonts w:ascii="Times New Roman" w:hAnsi="Times New Roman"/>
          <w:sz w:val="28"/>
          <w:szCs w:val="28"/>
          <w:lang w:val="en-US"/>
        </w:rPr>
        <w:t xml:space="preserve">- </w:t>
      </w:r>
      <w:r w:rsidR="00E17743" w:rsidRPr="00E17743">
        <w:rPr>
          <w:rFonts w:ascii="Times New Roman" w:hAnsi="Times New Roman"/>
          <w:sz w:val="28"/>
          <w:szCs w:val="28"/>
        </w:rPr>
        <w:t>Sở Tài chính có trách nhiệm quản lý, theo dõi, đánh giá việc thực hiện nhiệm vụ quyền hạn của các cơ quan, tổ chức, đơn vị, UBND các xã, phường được phân cấp. Kịp thời tham mưu trình UBND tỉnh điều chỉnh quy định về phân cấp cho phù hợp với các quy định hiện hành.</w:t>
      </w:r>
    </w:p>
    <w:p w:rsidR="00DA791B" w:rsidRPr="00225EE5" w:rsidRDefault="008064F6" w:rsidP="00985C87">
      <w:pPr>
        <w:spacing w:before="120" w:line="340" w:lineRule="exact"/>
        <w:ind w:firstLine="720"/>
        <w:jc w:val="both"/>
        <w:rPr>
          <w:rFonts w:ascii="Times New Roman" w:hAnsi="Times New Roman" w:cs="Times New Roman"/>
          <w:i/>
          <w:iCs/>
          <w:sz w:val="28"/>
          <w:szCs w:val="28"/>
          <w:lang w:val="en-US"/>
        </w:rPr>
      </w:pPr>
      <w:r w:rsidRPr="00225EE5">
        <w:rPr>
          <w:rFonts w:ascii="Times New Roman" w:hAnsi="Times New Roman" w:cs="Times New Roman"/>
          <w:sz w:val="28"/>
          <w:szCs w:val="28"/>
          <w:lang w:val="en-US"/>
        </w:rPr>
        <w:t>Từ những lý do trên, việc phân cấp</w:t>
      </w:r>
      <w:r w:rsidR="0006163A" w:rsidRPr="00225EE5">
        <w:rPr>
          <w:rFonts w:ascii="Times New Roman" w:hAnsi="Times New Roman" w:cs="Times New Roman"/>
          <w:sz w:val="28"/>
          <w:szCs w:val="28"/>
          <w:lang w:val="en-US"/>
        </w:rPr>
        <w:t xml:space="preserve"> </w:t>
      </w:r>
      <w:r w:rsidR="00874914" w:rsidRPr="00225EE5">
        <w:rPr>
          <w:rFonts w:ascii="Times New Roman" w:hAnsi="Times New Roman" w:cs="Times New Roman"/>
          <w:sz w:val="28"/>
          <w:szCs w:val="28"/>
          <w:lang w:val="en-US"/>
        </w:rPr>
        <w:t xml:space="preserve">cho </w:t>
      </w:r>
      <w:r w:rsidR="0015201F">
        <w:rPr>
          <w:rFonts w:ascii="Times New Roman" w:hAnsi="Times New Roman" w:cs="Times New Roman"/>
          <w:sz w:val="28"/>
          <w:szCs w:val="28"/>
          <w:lang w:val="en-US"/>
        </w:rPr>
        <w:t>c</w:t>
      </w:r>
      <w:r w:rsidR="0015201F">
        <w:rPr>
          <w:rFonts w:ascii="Times New Roman" w:hAnsi="Times New Roman"/>
          <w:sz w:val="28"/>
          <w:szCs w:val="28"/>
          <w:lang w:val="af-ZA"/>
        </w:rPr>
        <w:t>ác cơ quan, tổ chức, đơn vị, UBND các xã, phường</w:t>
      </w:r>
      <w:r w:rsidR="00874914" w:rsidRPr="00225EE5">
        <w:rPr>
          <w:rFonts w:ascii="Times New Roman" w:hAnsi="Times New Roman" w:cs="Times New Roman"/>
          <w:sz w:val="28"/>
          <w:szCs w:val="28"/>
          <w:lang w:val="en-US"/>
        </w:rPr>
        <w:t xml:space="preserve"> trong dự thảo </w:t>
      </w:r>
      <w:r w:rsidRPr="00225EE5">
        <w:rPr>
          <w:rFonts w:ascii="Times New Roman" w:hAnsi="Times New Roman" w:cs="Times New Roman"/>
          <w:sz w:val="28"/>
          <w:szCs w:val="28"/>
          <w:lang w:val="en-US"/>
        </w:rPr>
        <w:t>quyết định</w:t>
      </w:r>
      <w:r w:rsidR="00874914" w:rsidRPr="00225EE5">
        <w:rPr>
          <w:rFonts w:ascii="Times New Roman" w:hAnsi="Times New Roman" w:cs="Times New Roman"/>
          <w:sz w:val="28"/>
          <w:szCs w:val="28"/>
          <w:lang w:val="en-US"/>
        </w:rPr>
        <w:t xml:space="preserve"> đảm bảo điều kiện được phân </w:t>
      </w:r>
      <w:r w:rsidRPr="00225EE5">
        <w:rPr>
          <w:rFonts w:ascii="Times New Roman" w:hAnsi="Times New Roman" w:cs="Times New Roman"/>
          <w:sz w:val="28"/>
          <w:szCs w:val="28"/>
          <w:lang w:val="en-US"/>
        </w:rPr>
        <w:t>cấp</w:t>
      </w:r>
      <w:r w:rsidR="00211FA1" w:rsidRPr="00225EE5">
        <w:rPr>
          <w:rFonts w:ascii="Times New Roman" w:hAnsi="Times New Roman" w:cs="Times New Roman"/>
          <w:sz w:val="28"/>
          <w:szCs w:val="28"/>
          <w:lang w:val="en-US"/>
        </w:rPr>
        <w:t xml:space="preserve"> (</w:t>
      </w:r>
      <w:r w:rsidR="00A86C47" w:rsidRPr="00225EE5">
        <w:rPr>
          <w:rFonts w:ascii="Times New Roman" w:hAnsi="Times New Roman" w:cs="Times New Roman"/>
          <w:sz w:val="28"/>
          <w:szCs w:val="28"/>
          <w:lang w:val="en-US"/>
        </w:rPr>
        <w:t xml:space="preserve">Sở Nội vụ đã có Công văn số </w:t>
      </w:r>
      <w:r w:rsidR="0015201F">
        <w:rPr>
          <w:rFonts w:ascii="Times New Roman" w:hAnsi="Times New Roman" w:cs="Times New Roman"/>
          <w:sz w:val="28"/>
          <w:szCs w:val="28"/>
          <w:lang w:val="en-US"/>
        </w:rPr>
        <w:t>………..</w:t>
      </w:r>
      <w:r w:rsidR="00A86C47" w:rsidRPr="00225EE5">
        <w:rPr>
          <w:rFonts w:ascii="Times New Roman" w:hAnsi="Times New Roman" w:cs="Times New Roman"/>
          <w:sz w:val="28"/>
          <w:szCs w:val="28"/>
          <w:lang w:val="en-US"/>
        </w:rPr>
        <w:t xml:space="preserve">/SNV-TTr ngày </w:t>
      </w:r>
      <w:r w:rsidR="0015201F">
        <w:rPr>
          <w:rFonts w:ascii="Times New Roman" w:hAnsi="Times New Roman" w:cs="Times New Roman"/>
          <w:sz w:val="28"/>
          <w:szCs w:val="28"/>
          <w:lang w:val="en-US"/>
        </w:rPr>
        <w:t>…../….</w:t>
      </w:r>
      <w:r w:rsidR="00A86C47" w:rsidRPr="00225EE5">
        <w:rPr>
          <w:rFonts w:ascii="Times New Roman" w:hAnsi="Times New Roman" w:cs="Times New Roman"/>
          <w:sz w:val="28"/>
          <w:szCs w:val="28"/>
          <w:lang w:val="en-US"/>
        </w:rPr>
        <w:t xml:space="preserve">/2025 trong đó nhất trí với dự thảo </w:t>
      </w:r>
      <w:r w:rsidR="00225EE5" w:rsidRPr="00225EE5">
        <w:rPr>
          <w:rFonts w:ascii="Times New Roman" w:hAnsi="Times New Roman" w:cs="Times New Roman"/>
          <w:sz w:val="28"/>
          <w:szCs w:val="28"/>
          <w:lang w:val="en-US"/>
        </w:rPr>
        <w:t>đề xuất của Sở Tài chính).</w:t>
      </w:r>
    </w:p>
    <w:sectPr w:rsidR="00DA791B" w:rsidRPr="00225EE5" w:rsidSect="00447C89">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867" w:rsidRDefault="00B16867" w:rsidP="00CE16B1">
      <w:r>
        <w:separator/>
      </w:r>
    </w:p>
  </w:endnote>
  <w:endnote w:type="continuationSeparator" w:id="1">
    <w:p w:rsidR="00B16867" w:rsidRDefault="00B16867" w:rsidP="00CE16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867" w:rsidRDefault="00B16867" w:rsidP="00CE16B1">
      <w:r>
        <w:separator/>
      </w:r>
    </w:p>
  </w:footnote>
  <w:footnote w:type="continuationSeparator" w:id="1">
    <w:p w:rsidR="00B16867" w:rsidRDefault="00B16867" w:rsidP="00CE1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335299"/>
      <w:docPartObj>
        <w:docPartGallery w:val="Page Numbers (Top of Page)"/>
        <w:docPartUnique/>
      </w:docPartObj>
    </w:sdtPr>
    <w:sdtEndPr>
      <w:rPr>
        <w:rFonts w:ascii="Times New Roman" w:hAnsi="Times New Roman" w:cs="Times New Roman"/>
        <w:noProof/>
        <w:sz w:val="28"/>
        <w:szCs w:val="28"/>
      </w:rPr>
    </w:sdtEndPr>
    <w:sdtContent>
      <w:p w:rsidR="00293C11" w:rsidRPr="00554853" w:rsidRDefault="00412773" w:rsidP="00554853">
        <w:pPr>
          <w:pStyle w:val="Header"/>
          <w:jc w:val="center"/>
          <w:rPr>
            <w:rFonts w:ascii="Times New Roman" w:hAnsi="Times New Roman" w:cs="Times New Roman"/>
            <w:sz w:val="28"/>
            <w:szCs w:val="28"/>
          </w:rPr>
        </w:pPr>
        <w:r w:rsidRPr="00554853">
          <w:rPr>
            <w:rFonts w:ascii="Times New Roman" w:hAnsi="Times New Roman" w:cs="Times New Roman"/>
            <w:sz w:val="28"/>
            <w:szCs w:val="28"/>
          </w:rPr>
          <w:fldChar w:fldCharType="begin"/>
        </w:r>
        <w:r w:rsidR="00F534A0" w:rsidRPr="00554853">
          <w:rPr>
            <w:rFonts w:ascii="Times New Roman" w:hAnsi="Times New Roman" w:cs="Times New Roman"/>
            <w:sz w:val="28"/>
            <w:szCs w:val="28"/>
          </w:rPr>
          <w:instrText xml:space="preserve"> PAGE   \* MERGEFORMAT </w:instrText>
        </w:r>
        <w:r w:rsidRPr="00554853">
          <w:rPr>
            <w:rFonts w:ascii="Times New Roman" w:hAnsi="Times New Roman" w:cs="Times New Roman"/>
            <w:sz w:val="28"/>
            <w:szCs w:val="28"/>
          </w:rPr>
          <w:fldChar w:fldCharType="separate"/>
        </w:r>
        <w:r w:rsidR="00072AB6">
          <w:rPr>
            <w:rFonts w:ascii="Times New Roman" w:hAnsi="Times New Roman" w:cs="Times New Roman"/>
            <w:noProof/>
            <w:sz w:val="28"/>
            <w:szCs w:val="28"/>
          </w:rPr>
          <w:t>2</w:t>
        </w:r>
        <w:r w:rsidRPr="00554853">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76E0D"/>
    <w:multiLevelType w:val="hybridMultilevel"/>
    <w:tmpl w:val="7AE4DA58"/>
    <w:lvl w:ilvl="0" w:tplc="324CD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A791B"/>
    <w:rsid w:val="000153F4"/>
    <w:rsid w:val="00016138"/>
    <w:rsid w:val="000200DB"/>
    <w:rsid w:val="0002391A"/>
    <w:rsid w:val="000607BD"/>
    <w:rsid w:val="0006163A"/>
    <w:rsid w:val="00067C20"/>
    <w:rsid w:val="00072AB6"/>
    <w:rsid w:val="00081900"/>
    <w:rsid w:val="000E14D8"/>
    <w:rsid w:val="000F0FD5"/>
    <w:rsid w:val="001043E5"/>
    <w:rsid w:val="00135BDB"/>
    <w:rsid w:val="001455DC"/>
    <w:rsid w:val="00145E1F"/>
    <w:rsid w:val="0015201F"/>
    <w:rsid w:val="00153FF9"/>
    <w:rsid w:val="0018052A"/>
    <w:rsid w:val="0018332E"/>
    <w:rsid w:val="001C212B"/>
    <w:rsid w:val="001C24A5"/>
    <w:rsid w:val="001D01E5"/>
    <w:rsid w:val="001D1826"/>
    <w:rsid w:val="00211FA1"/>
    <w:rsid w:val="002149F0"/>
    <w:rsid w:val="00225EE5"/>
    <w:rsid w:val="00240B8C"/>
    <w:rsid w:val="00264EAF"/>
    <w:rsid w:val="0026714D"/>
    <w:rsid w:val="00293C11"/>
    <w:rsid w:val="00294D9F"/>
    <w:rsid w:val="002D29D0"/>
    <w:rsid w:val="002E3584"/>
    <w:rsid w:val="002F0997"/>
    <w:rsid w:val="002F37E3"/>
    <w:rsid w:val="00316B5E"/>
    <w:rsid w:val="00321959"/>
    <w:rsid w:val="003244FD"/>
    <w:rsid w:val="00335C4F"/>
    <w:rsid w:val="0038548C"/>
    <w:rsid w:val="00387A75"/>
    <w:rsid w:val="003C10D1"/>
    <w:rsid w:val="003D2F65"/>
    <w:rsid w:val="00412773"/>
    <w:rsid w:val="0041563D"/>
    <w:rsid w:val="004221CA"/>
    <w:rsid w:val="004441D1"/>
    <w:rsid w:val="00447C89"/>
    <w:rsid w:val="00455DEF"/>
    <w:rsid w:val="00461791"/>
    <w:rsid w:val="004A7B4F"/>
    <w:rsid w:val="004B1EB0"/>
    <w:rsid w:val="004B24AE"/>
    <w:rsid w:val="004B3A1B"/>
    <w:rsid w:val="004B706E"/>
    <w:rsid w:val="004E3293"/>
    <w:rsid w:val="00514748"/>
    <w:rsid w:val="00530282"/>
    <w:rsid w:val="00530F92"/>
    <w:rsid w:val="00542E8D"/>
    <w:rsid w:val="00554853"/>
    <w:rsid w:val="005648F6"/>
    <w:rsid w:val="005675AA"/>
    <w:rsid w:val="005A4C47"/>
    <w:rsid w:val="005A5283"/>
    <w:rsid w:val="005D05AC"/>
    <w:rsid w:val="00602125"/>
    <w:rsid w:val="006042AF"/>
    <w:rsid w:val="00625700"/>
    <w:rsid w:val="00627663"/>
    <w:rsid w:val="006736DA"/>
    <w:rsid w:val="00680846"/>
    <w:rsid w:val="006B28C6"/>
    <w:rsid w:val="006B6310"/>
    <w:rsid w:val="006D6AEE"/>
    <w:rsid w:val="00707DE6"/>
    <w:rsid w:val="00730A94"/>
    <w:rsid w:val="00740B97"/>
    <w:rsid w:val="00756EE4"/>
    <w:rsid w:val="00774E1C"/>
    <w:rsid w:val="007757AA"/>
    <w:rsid w:val="00785DAF"/>
    <w:rsid w:val="007A4DF0"/>
    <w:rsid w:val="007B3B1A"/>
    <w:rsid w:val="007C6DCC"/>
    <w:rsid w:val="007C7595"/>
    <w:rsid w:val="007E5905"/>
    <w:rsid w:val="00802105"/>
    <w:rsid w:val="008064F6"/>
    <w:rsid w:val="00827820"/>
    <w:rsid w:val="00833121"/>
    <w:rsid w:val="008431D4"/>
    <w:rsid w:val="00852C8B"/>
    <w:rsid w:val="00871127"/>
    <w:rsid w:val="00874914"/>
    <w:rsid w:val="0087731F"/>
    <w:rsid w:val="008A1C09"/>
    <w:rsid w:val="008C1ED8"/>
    <w:rsid w:val="008D1E75"/>
    <w:rsid w:val="008F4952"/>
    <w:rsid w:val="0090760B"/>
    <w:rsid w:val="00910060"/>
    <w:rsid w:val="00917385"/>
    <w:rsid w:val="009372E7"/>
    <w:rsid w:val="0095126B"/>
    <w:rsid w:val="009524FF"/>
    <w:rsid w:val="0096037F"/>
    <w:rsid w:val="00966E68"/>
    <w:rsid w:val="009726F7"/>
    <w:rsid w:val="00975A21"/>
    <w:rsid w:val="00980AE5"/>
    <w:rsid w:val="00985C87"/>
    <w:rsid w:val="00997DAC"/>
    <w:rsid w:val="009A09B5"/>
    <w:rsid w:val="009A74F9"/>
    <w:rsid w:val="009C2FD6"/>
    <w:rsid w:val="009C78E2"/>
    <w:rsid w:val="009E05AE"/>
    <w:rsid w:val="009E13A0"/>
    <w:rsid w:val="00A3358A"/>
    <w:rsid w:val="00A448BF"/>
    <w:rsid w:val="00A54B07"/>
    <w:rsid w:val="00A86C47"/>
    <w:rsid w:val="00AA05B2"/>
    <w:rsid w:val="00AA2696"/>
    <w:rsid w:val="00AA2A9A"/>
    <w:rsid w:val="00AA6A77"/>
    <w:rsid w:val="00AC170B"/>
    <w:rsid w:val="00B01C7E"/>
    <w:rsid w:val="00B045A1"/>
    <w:rsid w:val="00B16867"/>
    <w:rsid w:val="00B44097"/>
    <w:rsid w:val="00B4455A"/>
    <w:rsid w:val="00B4481A"/>
    <w:rsid w:val="00B62733"/>
    <w:rsid w:val="00B63C2B"/>
    <w:rsid w:val="00B658B6"/>
    <w:rsid w:val="00B6613B"/>
    <w:rsid w:val="00B8404E"/>
    <w:rsid w:val="00B92E6D"/>
    <w:rsid w:val="00BD381B"/>
    <w:rsid w:val="00BD694A"/>
    <w:rsid w:val="00BE4214"/>
    <w:rsid w:val="00C24C77"/>
    <w:rsid w:val="00C31706"/>
    <w:rsid w:val="00C31A23"/>
    <w:rsid w:val="00C60053"/>
    <w:rsid w:val="00C6567C"/>
    <w:rsid w:val="00CA5C6A"/>
    <w:rsid w:val="00CB27DB"/>
    <w:rsid w:val="00CD463D"/>
    <w:rsid w:val="00CE16B1"/>
    <w:rsid w:val="00CE6C18"/>
    <w:rsid w:val="00CF42DB"/>
    <w:rsid w:val="00D03DE4"/>
    <w:rsid w:val="00D14D1F"/>
    <w:rsid w:val="00D2621C"/>
    <w:rsid w:val="00D3067C"/>
    <w:rsid w:val="00D30875"/>
    <w:rsid w:val="00D63896"/>
    <w:rsid w:val="00DA6D01"/>
    <w:rsid w:val="00DA791B"/>
    <w:rsid w:val="00E04042"/>
    <w:rsid w:val="00E17743"/>
    <w:rsid w:val="00E21EB6"/>
    <w:rsid w:val="00E32C19"/>
    <w:rsid w:val="00E56F3B"/>
    <w:rsid w:val="00EA38C9"/>
    <w:rsid w:val="00EA3BA9"/>
    <w:rsid w:val="00EE3606"/>
    <w:rsid w:val="00EE4B57"/>
    <w:rsid w:val="00EF3593"/>
    <w:rsid w:val="00F01375"/>
    <w:rsid w:val="00F149F4"/>
    <w:rsid w:val="00F16BF4"/>
    <w:rsid w:val="00F20438"/>
    <w:rsid w:val="00F534A0"/>
    <w:rsid w:val="00F55E6C"/>
    <w:rsid w:val="00F72BCF"/>
    <w:rsid w:val="00F82423"/>
    <w:rsid w:val="00F84159"/>
    <w:rsid w:val="00F90301"/>
    <w:rsid w:val="00FB47CE"/>
    <w:rsid w:val="00FC6FD9"/>
    <w:rsid w:val="00FD10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4" type="connector" idref="#_x0000_s1026"/>
        <o:r id="V:Rule5" type="connector" idref="#_x0000_s1029"/>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1CA"/>
    <w:pPr>
      <w:widowControl w:val="0"/>
      <w:spacing w:after="0" w:line="240" w:lineRule="auto"/>
    </w:pPr>
    <w:rPr>
      <w:rFonts w:ascii="Courier New" w:eastAsia="Times New Roman" w:hAnsi="Courier New" w:cs="Courier New"/>
      <w:color w:val="000000"/>
      <w:kern w:val="0"/>
      <w:lang w:val="vi-VN" w:eastAsia="vi-VN"/>
    </w:rPr>
  </w:style>
  <w:style w:type="paragraph" w:styleId="Heading1">
    <w:name w:val="heading 1"/>
    <w:basedOn w:val="Normal"/>
    <w:next w:val="Normal"/>
    <w:link w:val="Heading1Char"/>
    <w:uiPriority w:val="9"/>
    <w:qFormat/>
    <w:rsid w:val="00DA791B"/>
    <w:pPr>
      <w:keepNext/>
      <w:keepLines/>
      <w:widowControl/>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rPr>
  </w:style>
  <w:style w:type="paragraph" w:styleId="Heading2">
    <w:name w:val="heading 2"/>
    <w:basedOn w:val="Normal"/>
    <w:next w:val="Normal"/>
    <w:link w:val="Heading2Char"/>
    <w:uiPriority w:val="9"/>
    <w:semiHidden/>
    <w:unhideWhenUsed/>
    <w:qFormat/>
    <w:rsid w:val="00DA791B"/>
    <w:pPr>
      <w:keepNext/>
      <w:keepLines/>
      <w:widowControl/>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rPr>
  </w:style>
  <w:style w:type="paragraph" w:styleId="Heading3">
    <w:name w:val="heading 3"/>
    <w:basedOn w:val="Normal"/>
    <w:next w:val="Normal"/>
    <w:link w:val="Heading3Char"/>
    <w:uiPriority w:val="9"/>
    <w:semiHidden/>
    <w:unhideWhenUsed/>
    <w:qFormat/>
    <w:rsid w:val="00DA791B"/>
    <w:pPr>
      <w:keepNext/>
      <w:keepLines/>
      <w:widowControl/>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rPr>
  </w:style>
  <w:style w:type="paragraph" w:styleId="Heading4">
    <w:name w:val="heading 4"/>
    <w:basedOn w:val="Normal"/>
    <w:next w:val="Normal"/>
    <w:link w:val="Heading4Char"/>
    <w:uiPriority w:val="9"/>
    <w:semiHidden/>
    <w:unhideWhenUsed/>
    <w:qFormat/>
    <w:rsid w:val="00DA791B"/>
    <w:pPr>
      <w:keepNext/>
      <w:keepLines/>
      <w:widowControl/>
      <w:spacing w:before="80" w:after="40" w:line="278" w:lineRule="auto"/>
      <w:outlineLvl w:val="3"/>
    </w:pPr>
    <w:rPr>
      <w:rFonts w:asciiTheme="minorHAnsi" w:eastAsiaTheme="majorEastAsia" w:hAnsiTheme="minorHAnsi" w:cstheme="majorBidi"/>
      <w:i/>
      <w:iCs/>
      <w:color w:val="2F5496" w:themeColor="accent1" w:themeShade="BF"/>
      <w:kern w:val="2"/>
      <w:lang w:val="en-US" w:eastAsia="en-US"/>
    </w:rPr>
  </w:style>
  <w:style w:type="paragraph" w:styleId="Heading5">
    <w:name w:val="heading 5"/>
    <w:basedOn w:val="Normal"/>
    <w:next w:val="Normal"/>
    <w:link w:val="Heading5Char"/>
    <w:uiPriority w:val="9"/>
    <w:semiHidden/>
    <w:unhideWhenUsed/>
    <w:qFormat/>
    <w:rsid w:val="00DA791B"/>
    <w:pPr>
      <w:keepNext/>
      <w:keepLines/>
      <w:widowControl/>
      <w:spacing w:before="80" w:after="40" w:line="278" w:lineRule="auto"/>
      <w:outlineLvl w:val="4"/>
    </w:pPr>
    <w:rPr>
      <w:rFonts w:asciiTheme="minorHAnsi" w:eastAsiaTheme="majorEastAsia" w:hAnsiTheme="minorHAnsi" w:cstheme="majorBidi"/>
      <w:color w:val="2F5496" w:themeColor="accent1" w:themeShade="BF"/>
      <w:kern w:val="2"/>
      <w:lang w:val="en-US" w:eastAsia="en-US"/>
    </w:rPr>
  </w:style>
  <w:style w:type="paragraph" w:styleId="Heading6">
    <w:name w:val="heading 6"/>
    <w:basedOn w:val="Normal"/>
    <w:next w:val="Normal"/>
    <w:link w:val="Heading6Char"/>
    <w:uiPriority w:val="9"/>
    <w:semiHidden/>
    <w:unhideWhenUsed/>
    <w:qFormat/>
    <w:rsid w:val="00DA791B"/>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rPr>
  </w:style>
  <w:style w:type="paragraph" w:styleId="Heading7">
    <w:name w:val="heading 7"/>
    <w:basedOn w:val="Normal"/>
    <w:next w:val="Normal"/>
    <w:link w:val="Heading7Char"/>
    <w:uiPriority w:val="9"/>
    <w:semiHidden/>
    <w:unhideWhenUsed/>
    <w:qFormat/>
    <w:rsid w:val="00DA791B"/>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rPr>
  </w:style>
  <w:style w:type="paragraph" w:styleId="Heading8">
    <w:name w:val="heading 8"/>
    <w:basedOn w:val="Normal"/>
    <w:next w:val="Normal"/>
    <w:link w:val="Heading8Char"/>
    <w:uiPriority w:val="9"/>
    <w:semiHidden/>
    <w:unhideWhenUsed/>
    <w:qFormat/>
    <w:rsid w:val="00DA791B"/>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rPr>
  </w:style>
  <w:style w:type="paragraph" w:styleId="Heading9">
    <w:name w:val="heading 9"/>
    <w:basedOn w:val="Normal"/>
    <w:next w:val="Normal"/>
    <w:link w:val="Heading9Char"/>
    <w:uiPriority w:val="9"/>
    <w:semiHidden/>
    <w:unhideWhenUsed/>
    <w:qFormat/>
    <w:rsid w:val="00DA791B"/>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9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79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79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79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79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7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91B"/>
    <w:rPr>
      <w:rFonts w:eastAsiaTheme="majorEastAsia" w:cstheme="majorBidi"/>
      <w:color w:val="272727" w:themeColor="text1" w:themeTint="D8"/>
    </w:rPr>
  </w:style>
  <w:style w:type="paragraph" w:styleId="Title">
    <w:name w:val="Title"/>
    <w:basedOn w:val="Normal"/>
    <w:next w:val="Normal"/>
    <w:link w:val="TitleChar"/>
    <w:uiPriority w:val="10"/>
    <w:qFormat/>
    <w:rsid w:val="00DA791B"/>
    <w:pPr>
      <w:widowControl/>
      <w:spacing w:after="80"/>
      <w:contextualSpacing/>
    </w:pPr>
    <w:rPr>
      <w:rFonts w:asciiTheme="majorHAnsi" w:eastAsiaTheme="majorEastAsia" w:hAnsiTheme="majorHAnsi" w:cstheme="majorBidi"/>
      <w:color w:val="auto"/>
      <w:spacing w:val="-10"/>
      <w:kern w:val="28"/>
      <w:sz w:val="56"/>
      <w:szCs w:val="56"/>
      <w:lang w:val="en-US" w:eastAsia="en-US"/>
    </w:rPr>
  </w:style>
  <w:style w:type="character" w:customStyle="1" w:styleId="TitleChar">
    <w:name w:val="Title Char"/>
    <w:basedOn w:val="DefaultParagraphFont"/>
    <w:link w:val="Title"/>
    <w:uiPriority w:val="10"/>
    <w:rsid w:val="00DA7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91B"/>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rPr>
  </w:style>
  <w:style w:type="character" w:customStyle="1" w:styleId="SubtitleChar">
    <w:name w:val="Subtitle Char"/>
    <w:basedOn w:val="DefaultParagraphFont"/>
    <w:link w:val="Subtitle"/>
    <w:uiPriority w:val="11"/>
    <w:rsid w:val="00DA7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91B"/>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rPr>
  </w:style>
  <w:style w:type="character" w:customStyle="1" w:styleId="QuoteChar">
    <w:name w:val="Quote Char"/>
    <w:basedOn w:val="DefaultParagraphFont"/>
    <w:link w:val="Quote"/>
    <w:uiPriority w:val="29"/>
    <w:rsid w:val="00DA791B"/>
    <w:rPr>
      <w:i/>
      <w:iCs/>
      <w:color w:val="404040" w:themeColor="text1" w:themeTint="BF"/>
    </w:rPr>
  </w:style>
  <w:style w:type="paragraph" w:styleId="ListParagraph">
    <w:name w:val="List Paragraph"/>
    <w:basedOn w:val="Normal"/>
    <w:uiPriority w:val="34"/>
    <w:qFormat/>
    <w:rsid w:val="00DA791B"/>
    <w:pPr>
      <w:widowControl/>
      <w:spacing w:after="160" w:line="278" w:lineRule="auto"/>
      <w:ind w:left="720"/>
      <w:contextualSpacing/>
    </w:pPr>
    <w:rPr>
      <w:rFonts w:asciiTheme="minorHAnsi" w:eastAsiaTheme="minorHAnsi" w:hAnsiTheme="minorHAnsi" w:cstheme="minorBidi"/>
      <w:color w:val="auto"/>
      <w:kern w:val="2"/>
      <w:lang w:val="en-US" w:eastAsia="en-US"/>
    </w:rPr>
  </w:style>
  <w:style w:type="character" w:styleId="IntenseEmphasis">
    <w:name w:val="Intense Emphasis"/>
    <w:basedOn w:val="DefaultParagraphFont"/>
    <w:uiPriority w:val="21"/>
    <w:qFormat/>
    <w:rsid w:val="00DA791B"/>
    <w:rPr>
      <w:i/>
      <w:iCs/>
      <w:color w:val="2F5496" w:themeColor="accent1" w:themeShade="BF"/>
    </w:rPr>
  </w:style>
  <w:style w:type="paragraph" w:styleId="IntenseQuote">
    <w:name w:val="Intense Quote"/>
    <w:basedOn w:val="Normal"/>
    <w:next w:val="Normal"/>
    <w:link w:val="IntenseQuoteChar"/>
    <w:uiPriority w:val="30"/>
    <w:qFormat/>
    <w:rsid w:val="00DA791B"/>
    <w:pPr>
      <w:widowControl/>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eastAsia="en-US"/>
    </w:rPr>
  </w:style>
  <w:style w:type="character" w:customStyle="1" w:styleId="IntenseQuoteChar">
    <w:name w:val="Intense Quote Char"/>
    <w:basedOn w:val="DefaultParagraphFont"/>
    <w:link w:val="IntenseQuote"/>
    <w:uiPriority w:val="30"/>
    <w:rsid w:val="00DA791B"/>
    <w:rPr>
      <w:i/>
      <w:iCs/>
      <w:color w:val="2F5496" w:themeColor="accent1" w:themeShade="BF"/>
    </w:rPr>
  </w:style>
  <w:style w:type="character" w:styleId="IntenseReference">
    <w:name w:val="Intense Reference"/>
    <w:basedOn w:val="DefaultParagraphFont"/>
    <w:uiPriority w:val="32"/>
    <w:qFormat/>
    <w:rsid w:val="00DA791B"/>
    <w:rPr>
      <w:b/>
      <w:bCs/>
      <w:smallCaps/>
      <w:color w:val="2F5496" w:themeColor="accent1" w:themeShade="BF"/>
      <w:spacing w:val="5"/>
    </w:rPr>
  </w:style>
  <w:style w:type="paragraph" w:styleId="FootnoteText">
    <w:name w:val="footnote text"/>
    <w:basedOn w:val="Normal"/>
    <w:link w:val="FootnoteTextChar"/>
    <w:rsid w:val="00CE16B1"/>
    <w:rPr>
      <w:rFonts w:eastAsia="Courier New"/>
      <w:sz w:val="20"/>
      <w:szCs w:val="20"/>
    </w:rPr>
  </w:style>
  <w:style w:type="character" w:customStyle="1" w:styleId="FootnoteTextChar">
    <w:name w:val="Footnote Text Char"/>
    <w:basedOn w:val="DefaultParagraphFont"/>
    <w:link w:val="FootnoteText"/>
    <w:rsid w:val="00CE16B1"/>
    <w:rPr>
      <w:rFonts w:ascii="Courier New" w:eastAsia="Courier New" w:hAnsi="Courier New" w:cs="Courier New"/>
      <w:color w:val="000000"/>
      <w:kern w:val="0"/>
      <w:sz w:val="20"/>
      <w:szCs w:val="20"/>
      <w:lang w:val="vi-VN" w:eastAsia="vi-VN"/>
    </w:rPr>
  </w:style>
  <w:style w:type="character" w:styleId="FootnoteReference">
    <w:name w:val="footnote reference"/>
    <w:basedOn w:val="DefaultParagraphFont"/>
    <w:rsid w:val="00CE16B1"/>
    <w:rPr>
      <w:vertAlign w:val="superscript"/>
    </w:rPr>
  </w:style>
  <w:style w:type="paragraph" w:styleId="Header">
    <w:name w:val="header"/>
    <w:basedOn w:val="Normal"/>
    <w:link w:val="HeaderChar"/>
    <w:uiPriority w:val="99"/>
    <w:unhideWhenUsed/>
    <w:rsid w:val="00FB47CE"/>
    <w:pPr>
      <w:tabs>
        <w:tab w:val="center" w:pos="4680"/>
        <w:tab w:val="right" w:pos="9360"/>
      </w:tabs>
    </w:pPr>
  </w:style>
  <w:style w:type="character" w:customStyle="1" w:styleId="HeaderChar">
    <w:name w:val="Header Char"/>
    <w:basedOn w:val="DefaultParagraphFont"/>
    <w:link w:val="Header"/>
    <w:uiPriority w:val="99"/>
    <w:rsid w:val="00FB47CE"/>
    <w:rPr>
      <w:rFonts w:ascii="Courier New" w:eastAsia="Times New Roman" w:hAnsi="Courier New" w:cs="Courier New"/>
      <w:color w:val="000000"/>
      <w:kern w:val="0"/>
      <w:lang w:val="vi-VN" w:eastAsia="vi-VN"/>
    </w:rPr>
  </w:style>
  <w:style w:type="paragraph" w:styleId="Footer">
    <w:name w:val="footer"/>
    <w:basedOn w:val="Normal"/>
    <w:link w:val="FooterChar"/>
    <w:uiPriority w:val="99"/>
    <w:unhideWhenUsed/>
    <w:rsid w:val="00FB47CE"/>
    <w:pPr>
      <w:tabs>
        <w:tab w:val="center" w:pos="4680"/>
        <w:tab w:val="right" w:pos="9360"/>
      </w:tabs>
    </w:pPr>
  </w:style>
  <w:style w:type="character" w:customStyle="1" w:styleId="FooterChar">
    <w:name w:val="Footer Char"/>
    <w:basedOn w:val="DefaultParagraphFont"/>
    <w:link w:val="Footer"/>
    <w:uiPriority w:val="99"/>
    <w:rsid w:val="00FB47CE"/>
    <w:rPr>
      <w:rFonts w:ascii="Courier New" w:eastAsia="Times New Roman" w:hAnsi="Courier New" w:cs="Courier New"/>
      <w:color w:val="000000"/>
      <w:kern w:val="0"/>
      <w:lang w:val="vi-VN" w:eastAsia="vi-VN"/>
    </w:rPr>
  </w:style>
  <w:style w:type="paragraph" w:styleId="NormalWeb">
    <w:name w:val="Normal (Web)"/>
    <w:basedOn w:val="Normal"/>
    <w:uiPriority w:val="99"/>
    <w:unhideWhenUsed/>
    <w:rsid w:val="00852C8B"/>
    <w:pPr>
      <w:widowControl/>
      <w:spacing w:before="100" w:beforeAutospacing="1" w:after="100" w:afterAutospacing="1"/>
    </w:pPr>
    <w:rPr>
      <w:rFonts w:ascii="Times New Roman" w:hAnsi="Times New Roman" w:cs="Times New Roman"/>
      <w:color w:val="auto"/>
      <w:lang w:val="en-US" w:eastAsia="en-US"/>
    </w:rPr>
  </w:style>
  <w:style w:type="character" w:styleId="Strong">
    <w:name w:val="Strong"/>
    <w:basedOn w:val="DefaultParagraphFont"/>
    <w:uiPriority w:val="22"/>
    <w:qFormat/>
    <w:rsid w:val="00852C8B"/>
    <w:rPr>
      <w:b/>
      <w:bCs/>
    </w:rPr>
  </w:style>
  <w:style w:type="character" w:styleId="Hyperlink">
    <w:name w:val="Hyperlink"/>
    <w:basedOn w:val="DefaultParagraphFont"/>
    <w:uiPriority w:val="99"/>
    <w:semiHidden/>
    <w:unhideWhenUsed/>
    <w:rsid w:val="00E32C1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52-2017-nd-cp-quy-dinh-tieu-chuan-dinh-muc-su-dung-tru-so-lam-viec-354148.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ai-chinh-nha-nuoc/nghi-dinh-152-2017-nd-cp-quy-dinh-tieu-chuan-dinh-muc-su-dung-tru-so-lam-viec-3541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1D7D7-280B-4A08-80B1-DF1ADAE0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4</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tathuhien</dc:creator>
  <cp:lastModifiedBy>tranthanhhuyen</cp:lastModifiedBy>
  <cp:revision>38</cp:revision>
  <cp:lastPrinted>2025-08-07T09:00:00Z</cp:lastPrinted>
  <dcterms:created xsi:type="dcterms:W3CDTF">2025-06-13T04:05:00Z</dcterms:created>
  <dcterms:modified xsi:type="dcterms:W3CDTF">2025-08-07T09:02:00Z</dcterms:modified>
</cp:coreProperties>
</file>